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778B" w14:textId="68605D58" w:rsidR="00ED66A3" w:rsidRPr="00D178F9" w:rsidRDefault="00ED66A3" w:rsidP="00ED66A3">
      <w:pPr>
        <w:spacing w:line="360" w:lineRule="auto"/>
        <w:contextualSpacing/>
        <w:jc w:val="center"/>
        <w:rPr>
          <w:rFonts w:ascii="Source Sans Pro" w:hAnsi="Source Sans Pro" w:cs="Times New Roman"/>
          <w:b/>
          <w:sz w:val="24"/>
          <w:szCs w:val="24"/>
          <w:lang w:val="en-US"/>
        </w:rPr>
      </w:pPr>
      <w:r w:rsidRPr="00D178F9">
        <w:rPr>
          <w:rFonts w:ascii="Source Sans Pro" w:hAnsi="Source Sans Pro" w:cs="Times New Roman"/>
          <w:b/>
          <w:sz w:val="24"/>
          <w:szCs w:val="24"/>
          <w:lang w:val="en-US"/>
        </w:rPr>
        <w:t>COM507 EUROPEAN TRAGEDY, 202</w:t>
      </w:r>
      <w:r w:rsidR="00265568" w:rsidRPr="00D178F9">
        <w:rPr>
          <w:rFonts w:ascii="Source Sans Pro" w:hAnsi="Source Sans Pro" w:cs="Times New Roman"/>
          <w:b/>
          <w:sz w:val="24"/>
          <w:szCs w:val="24"/>
          <w:lang w:val="en-US"/>
        </w:rPr>
        <w:t>4/25</w:t>
      </w:r>
    </w:p>
    <w:p w14:paraId="7BC30869" w14:textId="77777777" w:rsidR="00265568" w:rsidRPr="00D178F9" w:rsidRDefault="00265568" w:rsidP="00ED66A3">
      <w:pPr>
        <w:spacing w:line="360" w:lineRule="auto"/>
        <w:contextualSpacing/>
        <w:jc w:val="both"/>
        <w:rPr>
          <w:rFonts w:ascii="Source Sans Pro" w:hAnsi="Source Sans Pro" w:cs="Times New Roman"/>
          <w:b/>
          <w:sz w:val="24"/>
          <w:szCs w:val="24"/>
        </w:rPr>
      </w:pPr>
    </w:p>
    <w:p w14:paraId="03F3DAA7" w14:textId="4ADC2D4F" w:rsidR="00ED66A3" w:rsidRPr="00D178F9" w:rsidRDefault="00ED66A3" w:rsidP="00ED66A3">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Credit Value:</w:t>
      </w:r>
      <w:r w:rsidRPr="00D178F9">
        <w:rPr>
          <w:rFonts w:ascii="Source Sans Pro" w:hAnsi="Source Sans Pro" w:cs="Times New Roman"/>
          <w:sz w:val="24"/>
          <w:szCs w:val="24"/>
        </w:rPr>
        <w:t xml:space="preserve"> 15 credits</w:t>
      </w:r>
    </w:p>
    <w:p w14:paraId="3D17F343" w14:textId="77777777" w:rsidR="00ED66A3" w:rsidRPr="00D178F9" w:rsidRDefault="00ED66A3" w:rsidP="00ED66A3">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 xml:space="preserve">Level: </w:t>
      </w:r>
      <w:r w:rsidRPr="00D178F9">
        <w:rPr>
          <w:rFonts w:ascii="Source Sans Pro" w:hAnsi="Source Sans Pro" w:cs="Times New Roman"/>
          <w:sz w:val="24"/>
          <w:szCs w:val="24"/>
        </w:rPr>
        <w:t>5</w:t>
      </w:r>
    </w:p>
    <w:p w14:paraId="5ADC2CD3" w14:textId="4F907B1B" w:rsidR="00ED66A3" w:rsidRPr="00D178F9" w:rsidRDefault="00ED66A3" w:rsidP="00ED66A3">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 xml:space="preserve">Semester: </w:t>
      </w:r>
      <w:r w:rsidR="00265568" w:rsidRPr="00D178F9">
        <w:rPr>
          <w:rFonts w:ascii="Source Sans Pro" w:hAnsi="Source Sans Pro" w:cs="Times New Roman"/>
          <w:sz w:val="24"/>
          <w:szCs w:val="24"/>
        </w:rPr>
        <w:t>2</w:t>
      </w:r>
    </w:p>
    <w:p w14:paraId="4BB0928A" w14:textId="57315A4A" w:rsidR="00ED66A3" w:rsidRPr="00D178F9" w:rsidRDefault="00ED66A3" w:rsidP="00A13BA9">
      <w:pPr>
        <w:tabs>
          <w:tab w:val="left" w:pos="1980"/>
        </w:tabs>
        <w:contextualSpacing/>
        <w:jc w:val="both"/>
        <w:rPr>
          <w:rFonts w:ascii="Source Sans Pro" w:hAnsi="Source Sans Pro" w:cs="Times New Roman"/>
          <w:sz w:val="24"/>
          <w:szCs w:val="24"/>
          <w:lang w:val="en-US"/>
        </w:rPr>
      </w:pPr>
      <w:r w:rsidRPr="00D178F9">
        <w:rPr>
          <w:rFonts w:ascii="Source Sans Pro" w:hAnsi="Source Sans Pro" w:cs="Times New Roman"/>
          <w:b/>
          <w:sz w:val="24"/>
          <w:szCs w:val="24"/>
        </w:rPr>
        <w:t xml:space="preserve">Assessment: </w:t>
      </w:r>
      <w:r w:rsidRPr="00D178F9">
        <w:rPr>
          <w:rFonts w:ascii="Source Sans Pro" w:hAnsi="Source Sans Pro" w:cs="Times New Roman"/>
          <w:sz w:val="24"/>
          <w:szCs w:val="24"/>
          <w:lang w:val="en-US"/>
        </w:rPr>
        <w:t xml:space="preserve">One </w:t>
      </w:r>
      <w:r w:rsidR="00094A55" w:rsidRPr="00D178F9">
        <w:rPr>
          <w:rFonts w:ascii="Source Sans Pro" w:hAnsi="Source Sans Pro" w:cs="Times New Roman"/>
          <w:sz w:val="24"/>
          <w:szCs w:val="24"/>
          <w:lang w:val="en-US"/>
        </w:rPr>
        <w:t xml:space="preserve">creative plot summary and reflective commentary </w:t>
      </w:r>
      <w:r w:rsidRPr="00D178F9">
        <w:rPr>
          <w:rFonts w:ascii="Source Sans Pro" w:hAnsi="Source Sans Pro" w:cs="Times New Roman"/>
          <w:sz w:val="24"/>
          <w:szCs w:val="24"/>
          <w:lang w:val="en-US"/>
        </w:rPr>
        <w:t>(</w:t>
      </w:r>
      <w:r w:rsidR="00094A55" w:rsidRPr="00D178F9">
        <w:rPr>
          <w:rFonts w:ascii="Source Sans Pro" w:hAnsi="Source Sans Pro" w:cs="Times New Roman"/>
          <w:sz w:val="24"/>
          <w:szCs w:val="24"/>
          <w:lang w:val="en-US"/>
        </w:rPr>
        <w:t xml:space="preserve">1500 words, </w:t>
      </w:r>
      <w:r w:rsidRPr="00D178F9">
        <w:rPr>
          <w:rFonts w:ascii="Source Sans Pro" w:hAnsi="Source Sans Pro" w:cs="Times New Roman"/>
          <w:sz w:val="24"/>
          <w:szCs w:val="24"/>
          <w:lang w:val="en-US"/>
        </w:rPr>
        <w:t>40%); one essay (</w:t>
      </w:r>
      <w:r w:rsidR="00094A55" w:rsidRPr="00D178F9">
        <w:rPr>
          <w:rFonts w:ascii="Source Sans Pro" w:hAnsi="Source Sans Pro" w:cs="Times New Roman"/>
          <w:sz w:val="24"/>
          <w:szCs w:val="24"/>
          <w:lang w:val="en-US"/>
        </w:rPr>
        <w:t xml:space="preserve">2000 words, </w:t>
      </w:r>
      <w:r w:rsidRPr="00D178F9">
        <w:rPr>
          <w:rFonts w:ascii="Source Sans Pro" w:hAnsi="Source Sans Pro" w:cs="Times New Roman"/>
          <w:sz w:val="24"/>
          <w:szCs w:val="24"/>
          <w:lang w:val="en-US"/>
        </w:rPr>
        <w:t>60 %)</w:t>
      </w:r>
    </w:p>
    <w:p w14:paraId="4FF28396" w14:textId="77777777" w:rsidR="00ED66A3" w:rsidRPr="00D178F9" w:rsidRDefault="00ED66A3" w:rsidP="00ED66A3">
      <w:pPr>
        <w:tabs>
          <w:tab w:val="left" w:pos="1980"/>
        </w:tabs>
        <w:spacing w:line="360" w:lineRule="auto"/>
        <w:contextualSpacing/>
        <w:jc w:val="both"/>
        <w:rPr>
          <w:rFonts w:ascii="Source Sans Pro" w:hAnsi="Source Sans Pro" w:cs="Times New Roman"/>
          <w:b/>
          <w:sz w:val="24"/>
          <w:szCs w:val="24"/>
        </w:rPr>
      </w:pPr>
    </w:p>
    <w:p w14:paraId="25AEE7F6" w14:textId="3225A79F" w:rsidR="00ED66A3" w:rsidRPr="00D178F9" w:rsidRDefault="00ED66A3" w:rsidP="00ED66A3">
      <w:pPr>
        <w:tabs>
          <w:tab w:val="left" w:pos="1980"/>
        </w:tabs>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 xml:space="preserve">Pre-requisite: </w:t>
      </w:r>
      <w:r w:rsidRPr="00D178F9">
        <w:rPr>
          <w:rFonts w:ascii="Source Sans Pro" w:hAnsi="Source Sans Pro" w:cs="Times New Roman"/>
          <w:sz w:val="24"/>
          <w:szCs w:val="24"/>
        </w:rPr>
        <w:t>COM</w:t>
      </w:r>
      <w:r w:rsidR="00471EDD" w:rsidRPr="00D178F9">
        <w:rPr>
          <w:rFonts w:ascii="Source Sans Pro" w:hAnsi="Source Sans Pro" w:cs="Times New Roman"/>
          <w:sz w:val="24"/>
          <w:szCs w:val="24"/>
        </w:rPr>
        <w:t>4206</w:t>
      </w:r>
      <w:r w:rsidRPr="00D178F9">
        <w:rPr>
          <w:rFonts w:ascii="Source Sans Pro" w:hAnsi="Source Sans Pro" w:cs="Times New Roman"/>
          <w:sz w:val="24"/>
          <w:szCs w:val="24"/>
        </w:rPr>
        <w:t xml:space="preserve"> Introduction to </w:t>
      </w:r>
      <w:r w:rsidR="00471EDD" w:rsidRPr="00D178F9">
        <w:rPr>
          <w:rFonts w:ascii="Source Sans Pro" w:hAnsi="Source Sans Pro" w:cs="Times New Roman"/>
          <w:sz w:val="24"/>
          <w:szCs w:val="24"/>
        </w:rPr>
        <w:t xml:space="preserve">Comparison </w:t>
      </w:r>
      <w:r w:rsidRPr="00D178F9">
        <w:rPr>
          <w:rFonts w:ascii="Source Sans Pro" w:hAnsi="Source Sans Pro" w:cs="Times New Roman"/>
          <w:sz w:val="24"/>
          <w:szCs w:val="24"/>
        </w:rPr>
        <w:t>or equivalent</w:t>
      </w:r>
    </w:p>
    <w:p w14:paraId="4205935F" w14:textId="3B4C408F" w:rsidR="00ED66A3" w:rsidRPr="00D178F9" w:rsidRDefault="00ED66A3" w:rsidP="00A13BA9">
      <w:pPr>
        <w:tabs>
          <w:tab w:val="left" w:pos="1980"/>
        </w:tabs>
        <w:contextualSpacing/>
        <w:jc w:val="both"/>
        <w:rPr>
          <w:rFonts w:ascii="Source Sans Pro" w:hAnsi="Source Sans Pro" w:cs="Times New Roman"/>
          <w:sz w:val="24"/>
          <w:szCs w:val="24"/>
        </w:rPr>
      </w:pPr>
      <w:r w:rsidRPr="00D178F9">
        <w:rPr>
          <w:rFonts w:ascii="Source Sans Pro" w:hAnsi="Source Sans Pro" w:cs="Times New Roman"/>
          <w:sz w:val="24"/>
          <w:szCs w:val="24"/>
        </w:rPr>
        <w:t xml:space="preserve">Texts originally written in </w:t>
      </w:r>
      <w:r w:rsidR="00094A55" w:rsidRPr="00D178F9">
        <w:rPr>
          <w:rFonts w:ascii="Source Sans Pro" w:hAnsi="Source Sans Pro" w:cs="Times New Roman"/>
          <w:sz w:val="24"/>
          <w:szCs w:val="24"/>
        </w:rPr>
        <w:t>Greek</w:t>
      </w:r>
      <w:r w:rsidRPr="00D178F9">
        <w:rPr>
          <w:rFonts w:ascii="Source Sans Pro" w:hAnsi="Source Sans Pro" w:cs="Times New Roman"/>
          <w:sz w:val="24"/>
          <w:szCs w:val="24"/>
        </w:rPr>
        <w:t>, French</w:t>
      </w:r>
      <w:r w:rsidR="003108F2" w:rsidRPr="00D178F9">
        <w:rPr>
          <w:rFonts w:ascii="Source Sans Pro" w:hAnsi="Source Sans Pro" w:cs="Times New Roman"/>
          <w:sz w:val="24"/>
          <w:szCs w:val="24"/>
        </w:rPr>
        <w:t>,</w:t>
      </w:r>
      <w:r w:rsidR="00094A55" w:rsidRPr="00D178F9">
        <w:rPr>
          <w:rFonts w:ascii="Source Sans Pro" w:hAnsi="Source Sans Pro" w:cs="Times New Roman"/>
          <w:sz w:val="24"/>
          <w:szCs w:val="24"/>
        </w:rPr>
        <w:t xml:space="preserve"> Spanish</w:t>
      </w:r>
      <w:r w:rsidR="003108F2" w:rsidRPr="00D178F9">
        <w:rPr>
          <w:rFonts w:ascii="Source Sans Pro" w:hAnsi="Source Sans Pro" w:cs="Times New Roman"/>
          <w:sz w:val="24"/>
          <w:szCs w:val="24"/>
        </w:rPr>
        <w:t xml:space="preserve">, and </w:t>
      </w:r>
      <w:r w:rsidR="00CE29D1" w:rsidRPr="00D178F9">
        <w:rPr>
          <w:rFonts w:ascii="Source Sans Pro" w:hAnsi="Source Sans Pro" w:cs="Times New Roman"/>
          <w:sz w:val="24"/>
          <w:szCs w:val="24"/>
        </w:rPr>
        <w:t>Dano-Norwegian</w:t>
      </w:r>
      <w:r w:rsidR="00094A55" w:rsidRPr="00D178F9">
        <w:rPr>
          <w:rFonts w:ascii="Source Sans Pro" w:hAnsi="Source Sans Pro" w:cs="Times New Roman"/>
          <w:sz w:val="24"/>
          <w:szCs w:val="24"/>
        </w:rPr>
        <w:t xml:space="preserve"> </w:t>
      </w:r>
      <w:r w:rsidRPr="00D178F9">
        <w:rPr>
          <w:rFonts w:ascii="Source Sans Pro" w:hAnsi="Source Sans Pro" w:cs="Times New Roman"/>
          <w:sz w:val="24"/>
          <w:szCs w:val="24"/>
        </w:rPr>
        <w:t>will be studied</w:t>
      </w:r>
      <w:r w:rsidR="00094A55" w:rsidRPr="00D178F9">
        <w:rPr>
          <w:rFonts w:ascii="Source Sans Pro" w:hAnsi="Source Sans Pro" w:cs="Times New Roman"/>
          <w:sz w:val="24"/>
          <w:szCs w:val="24"/>
        </w:rPr>
        <w:t xml:space="preserve"> in English translation </w:t>
      </w:r>
    </w:p>
    <w:p w14:paraId="6AF37688" w14:textId="77777777" w:rsidR="00ED66A3" w:rsidRPr="00D178F9" w:rsidRDefault="00ED66A3" w:rsidP="00ED66A3">
      <w:pPr>
        <w:spacing w:line="360" w:lineRule="auto"/>
        <w:contextualSpacing/>
        <w:jc w:val="both"/>
        <w:rPr>
          <w:rFonts w:ascii="Source Sans Pro" w:hAnsi="Source Sans Pro" w:cs="Times New Roman"/>
          <w:b/>
          <w:sz w:val="24"/>
          <w:szCs w:val="24"/>
        </w:rPr>
      </w:pPr>
    </w:p>
    <w:p w14:paraId="19172323" w14:textId="673033B5" w:rsidR="00ED66A3" w:rsidRPr="00D178F9" w:rsidRDefault="00ED66A3" w:rsidP="00ED66A3">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 xml:space="preserve">Convenor: </w:t>
      </w:r>
      <w:r w:rsidR="00471EDD" w:rsidRPr="00D178F9">
        <w:rPr>
          <w:rFonts w:ascii="Source Sans Pro" w:hAnsi="Source Sans Pro" w:cs="Times New Roman"/>
          <w:sz w:val="24"/>
          <w:szCs w:val="24"/>
        </w:rPr>
        <w:t>Prof Adrian Armstrong</w:t>
      </w:r>
      <w:r w:rsidRPr="00D178F9">
        <w:rPr>
          <w:rFonts w:ascii="Source Sans Pro" w:hAnsi="Source Sans Pro" w:cs="Times New Roman"/>
          <w:sz w:val="24"/>
          <w:szCs w:val="24"/>
        </w:rPr>
        <w:t xml:space="preserve"> </w:t>
      </w:r>
    </w:p>
    <w:p w14:paraId="27ABC690" w14:textId="60688F50" w:rsidR="00ED66A3" w:rsidRPr="00D178F9" w:rsidRDefault="00ED66A3" w:rsidP="00ED66A3">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Contact details</w:t>
      </w:r>
      <w:r w:rsidRPr="00D178F9">
        <w:rPr>
          <w:rFonts w:ascii="Source Sans Pro" w:hAnsi="Source Sans Pro" w:cs="Times New Roman"/>
          <w:sz w:val="24"/>
          <w:szCs w:val="24"/>
        </w:rPr>
        <w:t xml:space="preserve">: </w:t>
      </w:r>
      <w:r w:rsidR="00471EDD" w:rsidRPr="00D178F9">
        <w:rPr>
          <w:rFonts w:ascii="Source Sans Pro" w:hAnsi="Source Sans Pro" w:cs="Times New Roman"/>
          <w:sz w:val="24"/>
          <w:szCs w:val="24"/>
        </w:rPr>
        <w:t>a.armstrong@qmul.ac.uk</w:t>
      </w:r>
    </w:p>
    <w:p w14:paraId="03ED5BC8" w14:textId="564FD454" w:rsidR="00ED66A3" w:rsidRPr="00D178F9" w:rsidRDefault="00471EDD" w:rsidP="00ED66A3">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bCs/>
          <w:sz w:val="24"/>
          <w:szCs w:val="24"/>
        </w:rPr>
        <w:t>Drop-in hours:</w:t>
      </w:r>
      <w:r w:rsidRPr="00D178F9">
        <w:rPr>
          <w:rFonts w:ascii="Source Sans Pro" w:hAnsi="Source Sans Pro" w:cs="Times New Roman"/>
          <w:sz w:val="24"/>
          <w:szCs w:val="24"/>
        </w:rPr>
        <w:t xml:space="preserve"> tbc</w:t>
      </w:r>
    </w:p>
    <w:p w14:paraId="1175EF5A" w14:textId="443FB019" w:rsidR="00ED66A3" w:rsidRPr="00D178F9" w:rsidRDefault="00ED66A3" w:rsidP="00ED66A3">
      <w:pPr>
        <w:spacing w:line="360" w:lineRule="auto"/>
        <w:contextualSpacing/>
        <w:jc w:val="both"/>
        <w:rPr>
          <w:rFonts w:ascii="Source Sans Pro" w:hAnsi="Source Sans Pro" w:cs="Times New Roman"/>
          <w:b/>
          <w:sz w:val="24"/>
          <w:szCs w:val="24"/>
        </w:rPr>
      </w:pPr>
      <w:r w:rsidRPr="00D178F9">
        <w:rPr>
          <w:rFonts w:ascii="Source Sans Pro" w:hAnsi="Source Sans Pro" w:cs="Times New Roman"/>
          <w:b/>
          <w:sz w:val="24"/>
          <w:szCs w:val="24"/>
        </w:rPr>
        <w:t>Timetable:</w:t>
      </w:r>
      <w:r w:rsidR="00F32D6C" w:rsidRPr="00D178F9">
        <w:rPr>
          <w:rFonts w:ascii="Source Sans Pro" w:hAnsi="Source Sans Pro" w:cs="Times New Roman"/>
          <w:b/>
          <w:sz w:val="24"/>
          <w:szCs w:val="24"/>
        </w:rPr>
        <w:t xml:space="preserve"> </w:t>
      </w:r>
      <w:r w:rsidR="00F42D1B" w:rsidRPr="00D178F9">
        <w:rPr>
          <w:rFonts w:ascii="Source Sans Pro" w:hAnsi="Source Sans Pro" w:cs="Times New Roman"/>
          <w:bCs/>
          <w:sz w:val="24"/>
          <w:szCs w:val="24"/>
        </w:rPr>
        <w:t>Seminar: Monday 9-10, Bancroft 1.08; Lecture: Thursday 4-5, Bancroft 1.08</w:t>
      </w:r>
    </w:p>
    <w:p w14:paraId="631A6DCC" w14:textId="77777777" w:rsidR="00ED66A3" w:rsidRPr="00D178F9" w:rsidRDefault="00ED66A3" w:rsidP="00ED66A3">
      <w:pPr>
        <w:spacing w:line="360" w:lineRule="auto"/>
        <w:contextualSpacing/>
        <w:jc w:val="both"/>
        <w:rPr>
          <w:rFonts w:ascii="Source Sans Pro" w:eastAsia="Times New Roman" w:hAnsi="Source Sans Pro" w:cs="Times New Roman"/>
          <w:sz w:val="24"/>
          <w:szCs w:val="24"/>
        </w:rPr>
      </w:pPr>
    </w:p>
    <w:p w14:paraId="07F3174F" w14:textId="6B8E44A2" w:rsidR="00ED66A3" w:rsidRPr="00D178F9" w:rsidRDefault="00ED66A3" w:rsidP="00F42D1B">
      <w:pPr>
        <w:spacing w:before="100" w:beforeAutospacing="1" w:after="100" w:afterAutospacing="1"/>
        <w:contextualSpacing/>
        <w:jc w:val="both"/>
        <w:rPr>
          <w:rFonts w:ascii="Source Sans Pro" w:hAnsi="Source Sans Pro" w:cs="Times New Roman"/>
          <w:sz w:val="24"/>
          <w:szCs w:val="24"/>
        </w:rPr>
      </w:pPr>
      <w:r w:rsidRPr="00D178F9">
        <w:rPr>
          <w:rFonts w:ascii="Source Sans Pro" w:eastAsia="Times New Roman" w:hAnsi="Source Sans Pro" w:cs="Times New Roman"/>
          <w:b/>
          <w:sz w:val="24"/>
          <w:szCs w:val="24"/>
          <w:lang w:val="en-US"/>
        </w:rPr>
        <w:t xml:space="preserve">All students must ensure that they follow the guidelines and regulations </w:t>
      </w:r>
      <w:r w:rsidR="00F42D1B" w:rsidRPr="00D178F9">
        <w:rPr>
          <w:rFonts w:ascii="Source Sans Pro" w:eastAsia="Times New Roman" w:hAnsi="Source Sans Pro" w:cs="Times New Roman"/>
          <w:b/>
          <w:sz w:val="24"/>
          <w:szCs w:val="24"/>
          <w:lang w:val="en-US"/>
        </w:rPr>
        <w:t xml:space="preserve">of the School of the Arts </w:t>
      </w:r>
      <w:r w:rsidRPr="00D178F9">
        <w:rPr>
          <w:rFonts w:ascii="Source Sans Pro" w:eastAsia="Times New Roman" w:hAnsi="Source Sans Pro" w:cs="Times New Roman"/>
          <w:b/>
          <w:sz w:val="24"/>
          <w:szCs w:val="24"/>
          <w:lang w:val="en-US"/>
        </w:rPr>
        <w:t>in all matters regarding this module</w:t>
      </w:r>
    </w:p>
    <w:p w14:paraId="77FB2DE0" w14:textId="77777777" w:rsidR="00ED66A3" w:rsidRPr="00D178F9" w:rsidRDefault="00ED66A3" w:rsidP="00ED66A3">
      <w:pPr>
        <w:spacing w:line="360" w:lineRule="auto"/>
        <w:contextualSpacing/>
        <w:jc w:val="both"/>
        <w:rPr>
          <w:rFonts w:ascii="Source Sans Pro" w:hAnsi="Source Sans Pro" w:cs="Times New Roman"/>
          <w:b/>
          <w:sz w:val="24"/>
          <w:szCs w:val="24"/>
        </w:rPr>
      </w:pPr>
    </w:p>
    <w:p w14:paraId="1C873B91" w14:textId="4F7E7098" w:rsidR="00ED66A3" w:rsidRPr="00D178F9" w:rsidRDefault="00ED66A3" w:rsidP="0032005A">
      <w:pPr>
        <w:spacing w:line="360" w:lineRule="auto"/>
        <w:contextualSpacing/>
        <w:jc w:val="both"/>
        <w:rPr>
          <w:rFonts w:ascii="Source Sans Pro" w:hAnsi="Source Sans Pro" w:cs="Times New Roman"/>
          <w:sz w:val="24"/>
          <w:szCs w:val="24"/>
        </w:rPr>
      </w:pPr>
      <w:r w:rsidRPr="00D178F9">
        <w:rPr>
          <w:rFonts w:ascii="Source Sans Pro" w:hAnsi="Source Sans Pro" w:cs="Times New Roman"/>
          <w:b/>
          <w:sz w:val="24"/>
          <w:szCs w:val="24"/>
        </w:rPr>
        <w:t>DESCRIPTION</w:t>
      </w:r>
      <w:r w:rsidRPr="00D178F9">
        <w:rPr>
          <w:rFonts w:ascii="Source Sans Pro" w:hAnsi="Source Sans Pro" w:cs="Times New Roman"/>
          <w:sz w:val="24"/>
          <w:szCs w:val="24"/>
        </w:rPr>
        <w:t xml:space="preserve"> </w:t>
      </w:r>
    </w:p>
    <w:p w14:paraId="0B04E5FF" w14:textId="77777777" w:rsidR="00ED66A3" w:rsidRPr="00D178F9" w:rsidRDefault="00ED66A3" w:rsidP="00F42D1B">
      <w:pPr>
        <w:contextualSpacing/>
        <w:jc w:val="both"/>
        <w:rPr>
          <w:rFonts w:ascii="Source Sans Pro" w:hAnsi="Source Sans Pro" w:cs="Times New Roman"/>
          <w:sz w:val="24"/>
          <w:szCs w:val="24"/>
        </w:rPr>
      </w:pPr>
      <w:r w:rsidRPr="00D178F9">
        <w:rPr>
          <w:rFonts w:ascii="Source Sans Pro" w:hAnsi="Source Sans Pro" w:cs="Times New Roman"/>
          <w:sz w:val="24"/>
          <w:szCs w:val="24"/>
        </w:rPr>
        <w:t xml:space="preserve">Tragedy is one of the most vital and enduring European literary genres. Tragic dramas are often perceived as among the most significant achievements of different national literatures. Not only are there outstanding examples of the genre in the national literatures drawn on in this programme, tragedy has from antiquity been the object of intense theoretical reflection on the part of critics and philosophers. Hence the course introduces students to important ways of thinking about literature as well as important literary texts. Moreover, tragic drama has sometimes been seen as embodying a distinct world view (a ‘tragic vision’ of human life), and various attempts to formulate this have been very influential, although rejected by some critics. The course will therefore engage with questions such as these: what do we gain from and why can we take a kind of pleasure in the spectacle of human misfortune? Are the benefits psychological, spiritual, intellectual? What kind of pleasure is produced? What kinds of misfortune produce the effect proper to tragedy? What can tragedy tell us about the cultures in which it flourishes? What kind of theoretical approaches (social, psychoanalytical, historical) are most fruitfully applied to it? </w:t>
      </w:r>
    </w:p>
    <w:p w14:paraId="2B79CA98" w14:textId="77777777" w:rsidR="00ED66A3" w:rsidRPr="00D178F9" w:rsidRDefault="00ED66A3" w:rsidP="00A13BA9">
      <w:pPr>
        <w:spacing w:after="0" w:line="360" w:lineRule="auto"/>
        <w:contextualSpacing/>
        <w:rPr>
          <w:rFonts w:ascii="Source Sans Pro" w:hAnsi="Source Sans Pro" w:cs="Times New Roman"/>
          <w:sz w:val="24"/>
          <w:szCs w:val="24"/>
        </w:rPr>
      </w:pPr>
      <w:r w:rsidRPr="00D178F9">
        <w:rPr>
          <w:rFonts w:ascii="Source Sans Pro" w:hAnsi="Source Sans Pro" w:cs="Times New Roman"/>
          <w:b/>
          <w:sz w:val="24"/>
          <w:szCs w:val="24"/>
        </w:rPr>
        <w:lastRenderedPageBreak/>
        <w:t xml:space="preserve">LEARNING OUTCOMES OF THE MODULE </w:t>
      </w:r>
    </w:p>
    <w:p w14:paraId="7A5DFD49" w14:textId="77777777" w:rsidR="00ED66A3" w:rsidRPr="00D178F9" w:rsidRDefault="00ED66A3" w:rsidP="00D178F9">
      <w:pPr>
        <w:pStyle w:val="ListParagraph"/>
        <w:numPr>
          <w:ilvl w:val="0"/>
          <w:numId w:val="1"/>
        </w:numPr>
        <w:ind w:left="714" w:hanging="357"/>
        <w:jc w:val="both"/>
        <w:rPr>
          <w:rFonts w:ascii="Source Sans Pro" w:hAnsi="Source Sans Pro" w:cs="Times New Roman"/>
          <w:sz w:val="24"/>
          <w:szCs w:val="24"/>
        </w:rPr>
      </w:pPr>
      <w:r w:rsidRPr="00D178F9">
        <w:rPr>
          <w:rFonts w:ascii="Source Sans Pro" w:hAnsi="Source Sans Pro" w:cs="Times New Roman"/>
          <w:sz w:val="24"/>
          <w:szCs w:val="24"/>
        </w:rPr>
        <w:t>An acquaintance with important tragic dramas from several national traditions, and a sense of the distinctive features of those traditions, in so far as these influence tragedy;</w:t>
      </w:r>
    </w:p>
    <w:p w14:paraId="02CAD215" w14:textId="77777777" w:rsidR="00ED66A3" w:rsidRPr="00D178F9" w:rsidRDefault="00ED66A3" w:rsidP="00D178F9">
      <w:pPr>
        <w:pStyle w:val="ListParagraph"/>
        <w:numPr>
          <w:ilvl w:val="0"/>
          <w:numId w:val="1"/>
        </w:numPr>
        <w:ind w:left="714" w:hanging="357"/>
        <w:jc w:val="both"/>
        <w:rPr>
          <w:rFonts w:ascii="Source Sans Pro" w:hAnsi="Source Sans Pro" w:cs="Times New Roman"/>
          <w:sz w:val="24"/>
          <w:szCs w:val="24"/>
        </w:rPr>
      </w:pPr>
      <w:r w:rsidRPr="00D178F9">
        <w:rPr>
          <w:rFonts w:ascii="Source Sans Pro" w:hAnsi="Source Sans Pro" w:cs="Times New Roman"/>
          <w:sz w:val="24"/>
          <w:szCs w:val="24"/>
        </w:rPr>
        <w:t>A grasp of key literary concepts (such as ‘action’ and ‘character’) insofar as these are instantiated in tragedy;</w:t>
      </w:r>
    </w:p>
    <w:p w14:paraId="39EA2D25" w14:textId="77777777" w:rsidR="00ED66A3" w:rsidRPr="00D178F9" w:rsidRDefault="00ED66A3" w:rsidP="00D178F9">
      <w:pPr>
        <w:pStyle w:val="ListParagraph"/>
        <w:numPr>
          <w:ilvl w:val="0"/>
          <w:numId w:val="1"/>
        </w:numPr>
        <w:ind w:left="714" w:hanging="357"/>
        <w:jc w:val="both"/>
        <w:rPr>
          <w:rFonts w:ascii="Source Sans Pro" w:hAnsi="Source Sans Pro" w:cs="Times New Roman"/>
          <w:sz w:val="24"/>
          <w:szCs w:val="24"/>
        </w:rPr>
      </w:pPr>
      <w:r w:rsidRPr="00D178F9">
        <w:rPr>
          <w:rFonts w:ascii="Source Sans Pro" w:hAnsi="Source Sans Pro" w:cs="Times New Roman"/>
          <w:sz w:val="24"/>
          <w:szCs w:val="24"/>
        </w:rPr>
        <w:t>A sense of how the tragic text engages or clashes with the belief-systems of different cultures (that from which it came but also those in which it is received);</w:t>
      </w:r>
    </w:p>
    <w:p w14:paraId="67D2C327" w14:textId="77777777" w:rsidR="00ED66A3" w:rsidRPr="00D178F9" w:rsidRDefault="00ED66A3" w:rsidP="00D178F9">
      <w:pPr>
        <w:pStyle w:val="ListParagraph"/>
        <w:numPr>
          <w:ilvl w:val="0"/>
          <w:numId w:val="1"/>
        </w:numPr>
        <w:ind w:left="714" w:hanging="357"/>
        <w:jc w:val="both"/>
        <w:rPr>
          <w:rFonts w:ascii="Source Sans Pro" w:hAnsi="Source Sans Pro" w:cs="Times New Roman"/>
          <w:sz w:val="24"/>
          <w:szCs w:val="24"/>
        </w:rPr>
      </w:pPr>
      <w:r w:rsidRPr="00D178F9">
        <w:rPr>
          <w:rFonts w:ascii="Source Sans Pro" w:hAnsi="Source Sans Pro" w:cs="Times New Roman"/>
          <w:sz w:val="24"/>
          <w:szCs w:val="24"/>
        </w:rPr>
        <w:t>An understanding of key philosophical and theoretical perspectives on tragedy.</w:t>
      </w:r>
    </w:p>
    <w:p w14:paraId="1B95906D" w14:textId="77777777" w:rsidR="00ED66A3" w:rsidRPr="00D178F9" w:rsidRDefault="00ED66A3" w:rsidP="00ED66A3">
      <w:pPr>
        <w:pStyle w:val="Heading1"/>
        <w:spacing w:line="360" w:lineRule="auto"/>
        <w:contextualSpacing/>
        <w:rPr>
          <w:rFonts w:ascii="Source Sans Pro" w:hAnsi="Source Sans Pro"/>
          <w:sz w:val="24"/>
          <w:szCs w:val="24"/>
        </w:rPr>
      </w:pPr>
    </w:p>
    <w:p w14:paraId="26015F62" w14:textId="77777777" w:rsidR="00D178F9" w:rsidRPr="00D178F9" w:rsidRDefault="00D178F9" w:rsidP="00D178F9">
      <w:pPr>
        <w:rPr>
          <w:rFonts w:ascii="Source Sans Pro" w:hAnsi="Source Sans Pro"/>
          <w:b/>
          <w:bCs/>
          <w:sz w:val="24"/>
          <w:szCs w:val="24"/>
        </w:rPr>
      </w:pPr>
      <w:r w:rsidRPr="00D178F9">
        <w:rPr>
          <w:rFonts w:ascii="Source Sans Pro" w:hAnsi="Source Sans Pro"/>
          <w:b/>
          <w:bCs/>
          <w:sz w:val="24"/>
          <w:szCs w:val="24"/>
        </w:rPr>
        <w:t xml:space="preserve">CAREERS AND EMPLOYABILITY   </w:t>
      </w:r>
    </w:p>
    <w:p w14:paraId="43103ABA" w14:textId="7F1A04A6" w:rsidR="00D178F9" w:rsidRPr="00D178F9" w:rsidRDefault="00D178F9" w:rsidP="00D178F9">
      <w:pPr>
        <w:jc w:val="both"/>
        <w:rPr>
          <w:rFonts w:ascii="Source Sans Pro" w:hAnsi="Source Sans Pro"/>
          <w:sz w:val="24"/>
          <w:szCs w:val="24"/>
        </w:rPr>
      </w:pPr>
      <w:r w:rsidRPr="00D178F9">
        <w:rPr>
          <w:rFonts w:ascii="Source Sans Pro" w:hAnsi="Source Sans Pro"/>
          <w:sz w:val="24"/>
          <w:szCs w:val="24"/>
        </w:rPr>
        <w:t xml:space="preserve">By taking a range of approaches to the plays studied, students will gain the skills necessary to write in different forms, involving creative writing as well as textual analysis. By assimilating these approaches, and by working on texts produced in very different cultures, students will be able to creatively reimagine where writing can take them in the future and develop their senses of cultural awareness, flexibility and adaptability. During the writing of assignments, students taking this module will have an opportunity to: </w:t>
      </w:r>
    </w:p>
    <w:p w14:paraId="60A9C7F6" w14:textId="2431412D" w:rsidR="00D178F9" w:rsidRPr="00D178F9" w:rsidRDefault="00D178F9" w:rsidP="00D178F9">
      <w:pPr>
        <w:pStyle w:val="ListParagraph"/>
        <w:numPr>
          <w:ilvl w:val="0"/>
          <w:numId w:val="3"/>
        </w:numPr>
        <w:jc w:val="both"/>
        <w:rPr>
          <w:rFonts w:ascii="Source Sans Pro" w:hAnsi="Source Sans Pro"/>
          <w:sz w:val="24"/>
          <w:szCs w:val="24"/>
        </w:rPr>
      </w:pPr>
      <w:r w:rsidRPr="00D178F9">
        <w:rPr>
          <w:rFonts w:ascii="Source Sans Pro" w:hAnsi="Source Sans Pro"/>
          <w:sz w:val="24"/>
          <w:szCs w:val="24"/>
        </w:rPr>
        <w:t xml:space="preserve">Develop close attention to how information is conveyed, by analysing both the content and the form of translated texts.  </w:t>
      </w:r>
    </w:p>
    <w:p w14:paraId="6C6912C3" w14:textId="109E3258" w:rsidR="00D178F9" w:rsidRPr="00D178F9" w:rsidRDefault="00D178F9" w:rsidP="00D178F9">
      <w:pPr>
        <w:pStyle w:val="ListParagraph"/>
        <w:numPr>
          <w:ilvl w:val="0"/>
          <w:numId w:val="3"/>
        </w:numPr>
        <w:jc w:val="both"/>
        <w:rPr>
          <w:rFonts w:ascii="Source Sans Pro" w:hAnsi="Source Sans Pro"/>
          <w:sz w:val="24"/>
          <w:szCs w:val="24"/>
        </w:rPr>
      </w:pPr>
      <w:r w:rsidRPr="00D178F9">
        <w:rPr>
          <w:rFonts w:ascii="Source Sans Pro" w:hAnsi="Source Sans Pro"/>
          <w:sz w:val="24"/>
          <w:szCs w:val="24"/>
        </w:rPr>
        <w:t xml:space="preserve">Develop a reflective approach to verbal fluency, by devising a creative plot summary and providing an accompanying reflective commentary to a specific brief. High-level communication skills are vital in any workplace, and are improved by a clear awareness of what is most appropriate to say and why.  </w:t>
      </w:r>
    </w:p>
    <w:p w14:paraId="1601C059" w14:textId="1FFE0907" w:rsidR="00D178F9" w:rsidRPr="00D178F9" w:rsidRDefault="00D178F9" w:rsidP="00D178F9">
      <w:pPr>
        <w:pStyle w:val="ListParagraph"/>
        <w:numPr>
          <w:ilvl w:val="0"/>
          <w:numId w:val="3"/>
        </w:numPr>
        <w:jc w:val="both"/>
        <w:rPr>
          <w:rFonts w:ascii="Source Sans Pro" w:hAnsi="Source Sans Pro"/>
          <w:sz w:val="24"/>
          <w:szCs w:val="24"/>
        </w:rPr>
      </w:pPr>
      <w:r w:rsidRPr="00D178F9">
        <w:rPr>
          <w:rFonts w:ascii="Source Sans Pro" w:hAnsi="Source Sans Pro"/>
          <w:sz w:val="24"/>
          <w:szCs w:val="24"/>
        </w:rPr>
        <w:t xml:space="preserve">Work with a high degree of independence and intellectual initiative, by engaging critically and reflectively with texts and theories, and learning how to write analytically and reflectively. In the age of social media and disinformation, the ability to communicate complex ideas, synthesise information, and conduct research is essential for a range of employers.  </w:t>
      </w:r>
    </w:p>
    <w:p w14:paraId="5C3CD366" w14:textId="77777777" w:rsidR="00D178F9" w:rsidRPr="00D178F9" w:rsidRDefault="00D178F9" w:rsidP="00D178F9">
      <w:pPr>
        <w:jc w:val="both"/>
        <w:rPr>
          <w:rFonts w:ascii="Source Sans Pro" w:hAnsi="Source Sans Pro"/>
          <w:sz w:val="24"/>
          <w:szCs w:val="24"/>
        </w:rPr>
      </w:pPr>
      <w:r w:rsidRPr="00D178F9">
        <w:rPr>
          <w:rFonts w:ascii="Source Sans Pro" w:hAnsi="Source Sans Pro"/>
          <w:sz w:val="24"/>
          <w:szCs w:val="24"/>
        </w:rPr>
        <w:t>In addition, seminars will often include task-based activities, typically in the form of structured debates or discussions involving teams of students. These will enable students to develop teamworking skills, as well as the analytical and reflective abilities outlined above.</w:t>
      </w:r>
    </w:p>
    <w:p w14:paraId="2486CB52" w14:textId="77777777" w:rsidR="00D178F9" w:rsidRPr="00D178F9" w:rsidRDefault="00D178F9" w:rsidP="00D178F9">
      <w:pPr>
        <w:jc w:val="both"/>
        <w:rPr>
          <w:rFonts w:ascii="Source Sans Pro" w:hAnsi="Source Sans Pro"/>
          <w:sz w:val="24"/>
          <w:szCs w:val="24"/>
        </w:rPr>
      </w:pPr>
      <w:r w:rsidRPr="00D178F9">
        <w:rPr>
          <w:rFonts w:ascii="Source Sans Pro" w:hAnsi="Source Sans Pro"/>
          <w:sz w:val="24"/>
          <w:szCs w:val="24"/>
        </w:rPr>
        <w:t xml:space="preserve">In sum, the key employability skills that students will be able to develop on this module include: </w:t>
      </w:r>
    </w:p>
    <w:p w14:paraId="6232C567" w14:textId="3D2A3999" w:rsidR="00D178F9" w:rsidRPr="00D178F9" w:rsidRDefault="00D178F9" w:rsidP="00D178F9">
      <w:pPr>
        <w:pStyle w:val="ListParagraph"/>
        <w:numPr>
          <w:ilvl w:val="0"/>
          <w:numId w:val="2"/>
        </w:numPr>
        <w:jc w:val="both"/>
        <w:rPr>
          <w:rFonts w:ascii="Source Sans Pro" w:hAnsi="Source Sans Pro"/>
          <w:sz w:val="24"/>
          <w:szCs w:val="24"/>
        </w:rPr>
      </w:pPr>
      <w:r w:rsidRPr="00D178F9">
        <w:rPr>
          <w:rFonts w:ascii="Source Sans Pro" w:hAnsi="Source Sans Pro"/>
          <w:sz w:val="24"/>
          <w:szCs w:val="24"/>
        </w:rPr>
        <w:t xml:space="preserve">creativity and innovation </w:t>
      </w:r>
    </w:p>
    <w:p w14:paraId="50CBFE99" w14:textId="17F082DE" w:rsidR="00D178F9" w:rsidRPr="00D178F9" w:rsidRDefault="00D178F9" w:rsidP="00D178F9">
      <w:pPr>
        <w:pStyle w:val="ListParagraph"/>
        <w:numPr>
          <w:ilvl w:val="0"/>
          <w:numId w:val="2"/>
        </w:numPr>
        <w:jc w:val="both"/>
        <w:rPr>
          <w:rFonts w:ascii="Source Sans Pro" w:hAnsi="Source Sans Pro"/>
          <w:sz w:val="24"/>
          <w:szCs w:val="24"/>
        </w:rPr>
      </w:pPr>
      <w:r w:rsidRPr="00D178F9">
        <w:rPr>
          <w:rFonts w:ascii="Source Sans Pro" w:hAnsi="Source Sans Pro"/>
          <w:sz w:val="24"/>
          <w:szCs w:val="24"/>
        </w:rPr>
        <w:t xml:space="preserve">communication </w:t>
      </w:r>
    </w:p>
    <w:p w14:paraId="3CF308ED" w14:textId="00D941CA" w:rsidR="00D178F9" w:rsidRPr="00D178F9" w:rsidRDefault="00D178F9" w:rsidP="00D178F9">
      <w:pPr>
        <w:pStyle w:val="ListParagraph"/>
        <w:numPr>
          <w:ilvl w:val="0"/>
          <w:numId w:val="2"/>
        </w:numPr>
        <w:jc w:val="both"/>
        <w:rPr>
          <w:rFonts w:ascii="Source Sans Pro" w:hAnsi="Source Sans Pro"/>
          <w:sz w:val="24"/>
          <w:szCs w:val="24"/>
        </w:rPr>
      </w:pPr>
      <w:r w:rsidRPr="00D178F9">
        <w:rPr>
          <w:rFonts w:ascii="Source Sans Pro" w:hAnsi="Source Sans Pro"/>
          <w:sz w:val="24"/>
          <w:szCs w:val="24"/>
        </w:rPr>
        <w:t>self-awareness</w:t>
      </w:r>
    </w:p>
    <w:p w14:paraId="52AA41AA" w14:textId="29BD8C45" w:rsidR="00D178F9" w:rsidRPr="00D178F9" w:rsidRDefault="00D178F9" w:rsidP="00D178F9">
      <w:pPr>
        <w:pStyle w:val="ListParagraph"/>
        <w:numPr>
          <w:ilvl w:val="0"/>
          <w:numId w:val="2"/>
        </w:numPr>
        <w:jc w:val="both"/>
        <w:rPr>
          <w:rFonts w:ascii="Source Sans Pro" w:hAnsi="Source Sans Pro"/>
          <w:sz w:val="24"/>
          <w:szCs w:val="24"/>
        </w:rPr>
      </w:pPr>
      <w:r w:rsidRPr="00D178F9">
        <w:rPr>
          <w:rFonts w:ascii="Source Sans Pro" w:hAnsi="Source Sans Pro"/>
          <w:sz w:val="24"/>
          <w:szCs w:val="24"/>
        </w:rPr>
        <w:t xml:space="preserve">adaptability/flexibility </w:t>
      </w:r>
    </w:p>
    <w:p w14:paraId="68A6013B" w14:textId="67BAFB26" w:rsidR="00D178F9" w:rsidRPr="00D178F9" w:rsidRDefault="00D178F9" w:rsidP="00D178F9">
      <w:pPr>
        <w:pStyle w:val="ListParagraph"/>
        <w:numPr>
          <w:ilvl w:val="0"/>
          <w:numId w:val="2"/>
        </w:numPr>
        <w:jc w:val="both"/>
        <w:rPr>
          <w:rFonts w:ascii="Source Sans Pro" w:hAnsi="Source Sans Pro"/>
          <w:sz w:val="24"/>
          <w:szCs w:val="24"/>
        </w:rPr>
      </w:pPr>
      <w:r w:rsidRPr="00D178F9">
        <w:rPr>
          <w:rFonts w:ascii="Source Sans Pro" w:hAnsi="Source Sans Pro"/>
          <w:sz w:val="24"/>
          <w:szCs w:val="24"/>
        </w:rPr>
        <w:t xml:space="preserve">resilience </w:t>
      </w:r>
    </w:p>
    <w:p w14:paraId="438A128B" w14:textId="0B41BC1C" w:rsidR="00D178F9" w:rsidRPr="00D178F9" w:rsidRDefault="00D178F9" w:rsidP="00D178F9">
      <w:pPr>
        <w:pStyle w:val="ListParagraph"/>
        <w:numPr>
          <w:ilvl w:val="0"/>
          <w:numId w:val="2"/>
        </w:numPr>
        <w:jc w:val="both"/>
        <w:rPr>
          <w:rFonts w:ascii="Source Sans Pro" w:hAnsi="Source Sans Pro"/>
          <w:sz w:val="24"/>
          <w:szCs w:val="24"/>
        </w:rPr>
      </w:pPr>
      <w:r w:rsidRPr="00D178F9">
        <w:rPr>
          <w:rFonts w:ascii="Source Sans Pro" w:hAnsi="Source Sans Pro"/>
          <w:sz w:val="24"/>
          <w:szCs w:val="24"/>
        </w:rPr>
        <w:t xml:space="preserve">self-management </w:t>
      </w:r>
    </w:p>
    <w:p w14:paraId="22F63DBB" w14:textId="73DA2B20" w:rsidR="00D178F9" w:rsidRPr="00D178F9" w:rsidRDefault="00D178F9" w:rsidP="00D178F9">
      <w:pPr>
        <w:pStyle w:val="ListParagraph"/>
        <w:numPr>
          <w:ilvl w:val="0"/>
          <w:numId w:val="2"/>
        </w:numPr>
        <w:rPr>
          <w:rFonts w:ascii="Source Sans Pro" w:hAnsi="Source Sans Pro"/>
          <w:sz w:val="24"/>
          <w:szCs w:val="24"/>
        </w:rPr>
      </w:pPr>
      <w:r w:rsidRPr="00D178F9">
        <w:rPr>
          <w:rFonts w:ascii="Source Sans Pro" w:hAnsi="Source Sans Pro"/>
          <w:sz w:val="24"/>
          <w:szCs w:val="24"/>
        </w:rPr>
        <w:t>teamworking</w:t>
      </w:r>
    </w:p>
    <w:p w14:paraId="15A3789F" w14:textId="155AE334" w:rsidR="00D178F9" w:rsidRPr="00D178F9" w:rsidRDefault="00D178F9" w:rsidP="00D178F9">
      <w:pPr>
        <w:rPr>
          <w:rFonts w:ascii="Source Sans Pro" w:hAnsi="Source Sans Pro"/>
          <w:sz w:val="24"/>
          <w:szCs w:val="24"/>
        </w:rPr>
      </w:pPr>
    </w:p>
    <w:p w14:paraId="53D27698" w14:textId="77777777" w:rsidR="00ED66A3" w:rsidRPr="00D178F9" w:rsidRDefault="00ED66A3" w:rsidP="00ED66A3">
      <w:pPr>
        <w:pStyle w:val="Heading1"/>
        <w:spacing w:line="360" w:lineRule="auto"/>
        <w:contextualSpacing/>
        <w:rPr>
          <w:rFonts w:ascii="Source Sans Pro" w:hAnsi="Source Sans Pro"/>
          <w:sz w:val="24"/>
          <w:szCs w:val="24"/>
        </w:rPr>
      </w:pPr>
      <w:r w:rsidRPr="00D178F9">
        <w:rPr>
          <w:rFonts w:ascii="Source Sans Pro" w:hAnsi="Source Sans Pro"/>
          <w:sz w:val="24"/>
          <w:szCs w:val="24"/>
        </w:rPr>
        <w:t xml:space="preserve">ASSIGNMENT DEADLINES </w:t>
      </w:r>
    </w:p>
    <w:p w14:paraId="1BEF3115" w14:textId="441FA49F" w:rsidR="00B61007" w:rsidRDefault="00B61007" w:rsidP="00B61007">
      <w:pPr>
        <w:spacing w:after="120"/>
        <w:jc w:val="both"/>
        <w:rPr>
          <w:rFonts w:ascii="Source Sans Pro" w:hAnsi="Source Sans Pro" w:cs="Times New Roman"/>
          <w:sz w:val="24"/>
          <w:szCs w:val="24"/>
        </w:rPr>
      </w:pPr>
      <w:r>
        <w:rPr>
          <w:rFonts w:ascii="Source Sans Pro" w:hAnsi="Source Sans Pro" w:cs="Times New Roman"/>
          <w:sz w:val="24"/>
          <w:szCs w:val="24"/>
        </w:rPr>
        <w:t>Assignment 1:</w:t>
      </w:r>
      <w:r w:rsidR="001A35EB">
        <w:rPr>
          <w:rFonts w:ascii="Source Sans Pro" w:hAnsi="Source Sans Pro" w:cs="Times New Roman"/>
          <w:sz w:val="24"/>
          <w:szCs w:val="24"/>
        </w:rPr>
        <w:t xml:space="preserve"> Monday 24 February (week 6), 1300</w:t>
      </w:r>
    </w:p>
    <w:p w14:paraId="27C94C4E" w14:textId="68778DB9" w:rsidR="00B61007" w:rsidRDefault="00B61007" w:rsidP="00B61007">
      <w:pPr>
        <w:spacing w:after="120"/>
        <w:jc w:val="both"/>
        <w:rPr>
          <w:rFonts w:ascii="Source Sans Pro" w:hAnsi="Source Sans Pro" w:cs="Times New Roman"/>
          <w:sz w:val="24"/>
          <w:szCs w:val="24"/>
        </w:rPr>
      </w:pPr>
      <w:r>
        <w:rPr>
          <w:rFonts w:ascii="Source Sans Pro" w:hAnsi="Source Sans Pro" w:cs="Times New Roman"/>
          <w:sz w:val="24"/>
          <w:szCs w:val="24"/>
        </w:rPr>
        <w:t xml:space="preserve">Assignment 2: </w:t>
      </w:r>
      <w:r w:rsidR="009743A7">
        <w:rPr>
          <w:rFonts w:ascii="Source Sans Pro" w:hAnsi="Source Sans Pro" w:cs="Times New Roman"/>
          <w:sz w:val="24"/>
          <w:szCs w:val="24"/>
        </w:rPr>
        <w:t>Monday 12 May, 1300</w:t>
      </w:r>
    </w:p>
    <w:p w14:paraId="7E4B7CB6" w14:textId="231DE285" w:rsidR="00ED66A3" w:rsidRPr="00D178F9" w:rsidRDefault="00ED66A3" w:rsidP="00FB541D">
      <w:pPr>
        <w:contextualSpacing/>
        <w:jc w:val="both"/>
        <w:rPr>
          <w:rFonts w:ascii="Source Sans Pro" w:hAnsi="Source Sans Pro" w:cs="Times New Roman"/>
          <w:sz w:val="24"/>
          <w:szCs w:val="24"/>
        </w:rPr>
      </w:pPr>
      <w:r w:rsidRPr="00D178F9">
        <w:rPr>
          <w:rFonts w:ascii="Source Sans Pro" w:hAnsi="Source Sans Pro" w:cs="Times New Roman"/>
          <w:sz w:val="24"/>
          <w:szCs w:val="24"/>
        </w:rPr>
        <w:t xml:space="preserve">Your </w:t>
      </w:r>
      <w:r w:rsidR="00F32D6C" w:rsidRPr="00D178F9">
        <w:rPr>
          <w:rFonts w:ascii="Source Sans Pro" w:hAnsi="Source Sans Pro" w:cs="Times New Roman"/>
          <w:sz w:val="24"/>
          <w:szCs w:val="24"/>
        </w:rPr>
        <w:t>assignment</w:t>
      </w:r>
      <w:r w:rsidR="00851D5E" w:rsidRPr="00D178F9">
        <w:rPr>
          <w:rFonts w:ascii="Source Sans Pro" w:hAnsi="Source Sans Pro" w:cs="Times New Roman"/>
          <w:sz w:val="24"/>
          <w:szCs w:val="24"/>
        </w:rPr>
        <w:t>s</w:t>
      </w:r>
      <w:r w:rsidRPr="00D178F9">
        <w:rPr>
          <w:rFonts w:ascii="Source Sans Pro" w:hAnsi="Source Sans Pro" w:cs="Times New Roman"/>
          <w:sz w:val="24"/>
          <w:szCs w:val="24"/>
        </w:rPr>
        <w:t xml:space="preserve"> must be submitted to </w:t>
      </w:r>
      <w:proofErr w:type="spellStart"/>
      <w:r w:rsidRPr="00D178F9">
        <w:rPr>
          <w:rFonts w:ascii="Source Sans Pro" w:hAnsi="Source Sans Pro" w:cs="Times New Roman"/>
          <w:sz w:val="24"/>
          <w:szCs w:val="24"/>
        </w:rPr>
        <w:t>QMplus</w:t>
      </w:r>
      <w:proofErr w:type="spellEnd"/>
      <w:r w:rsidRPr="00D178F9">
        <w:rPr>
          <w:rFonts w:ascii="Source Sans Pro" w:hAnsi="Source Sans Pro" w:cs="Times New Roman"/>
          <w:sz w:val="24"/>
          <w:szCs w:val="24"/>
        </w:rPr>
        <w:t xml:space="preserve">. Late submissions without an extension will be penalized. Applications </w:t>
      </w:r>
      <w:r w:rsidR="00756DA3" w:rsidRPr="00D178F9">
        <w:rPr>
          <w:rFonts w:ascii="Source Sans Pro" w:hAnsi="Source Sans Pro" w:cs="Times New Roman"/>
          <w:sz w:val="24"/>
          <w:szCs w:val="24"/>
        </w:rPr>
        <w:t xml:space="preserve">for Extenuating Circumstances </w:t>
      </w:r>
      <w:r w:rsidRPr="00D178F9">
        <w:rPr>
          <w:rFonts w:ascii="Source Sans Pro" w:hAnsi="Source Sans Pro" w:cs="Times New Roman"/>
          <w:sz w:val="24"/>
          <w:szCs w:val="24"/>
        </w:rPr>
        <w:t>should be made in advance of the deadline</w:t>
      </w:r>
      <w:r w:rsidR="00D57109" w:rsidRPr="00D178F9">
        <w:rPr>
          <w:rFonts w:ascii="Source Sans Pro" w:hAnsi="Source Sans Pro" w:cs="Times New Roman"/>
          <w:sz w:val="24"/>
          <w:szCs w:val="24"/>
        </w:rPr>
        <w:t xml:space="preserve">; see the </w:t>
      </w:r>
      <w:r w:rsidR="00FB541D" w:rsidRPr="00D178F9">
        <w:rPr>
          <w:rFonts w:ascii="Source Sans Pro" w:hAnsi="Source Sans Pro" w:cs="Times New Roman"/>
          <w:sz w:val="24"/>
          <w:szCs w:val="24"/>
        </w:rPr>
        <w:t>S</w:t>
      </w:r>
      <w:r w:rsidR="00D57109" w:rsidRPr="00D178F9">
        <w:rPr>
          <w:rFonts w:ascii="Source Sans Pro" w:hAnsi="Source Sans Pro" w:cs="Times New Roman"/>
          <w:sz w:val="24"/>
          <w:szCs w:val="24"/>
        </w:rPr>
        <w:t xml:space="preserve">tudent </w:t>
      </w:r>
      <w:r w:rsidR="00FB541D" w:rsidRPr="00D178F9">
        <w:rPr>
          <w:rFonts w:ascii="Source Sans Pro" w:hAnsi="Source Sans Pro" w:cs="Times New Roman"/>
          <w:sz w:val="24"/>
          <w:szCs w:val="24"/>
        </w:rPr>
        <w:t>G</w:t>
      </w:r>
      <w:r w:rsidR="00D57109" w:rsidRPr="00D178F9">
        <w:rPr>
          <w:rFonts w:ascii="Source Sans Pro" w:hAnsi="Source Sans Pro" w:cs="Times New Roman"/>
          <w:sz w:val="24"/>
          <w:szCs w:val="24"/>
        </w:rPr>
        <w:t>uide</w:t>
      </w:r>
      <w:r w:rsidR="00FB541D" w:rsidRPr="00D178F9">
        <w:rPr>
          <w:rFonts w:ascii="Source Sans Pro" w:hAnsi="Source Sans Pro" w:cs="Times New Roman"/>
          <w:sz w:val="24"/>
          <w:szCs w:val="24"/>
        </w:rPr>
        <w:t xml:space="preserve"> for submitting ECs claims</w:t>
      </w:r>
      <w:r w:rsidR="00D57109" w:rsidRPr="00D178F9">
        <w:rPr>
          <w:rFonts w:ascii="Source Sans Pro" w:hAnsi="Source Sans Pro" w:cs="Times New Roman"/>
          <w:sz w:val="24"/>
          <w:szCs w:val="24"/>
        </w:rPr>
        <w:t xml:space="preserve"> </w:t>
      </w:r>
      <w:r w:rsidR="00FB541D" w:rsidRPr="00D178F9">
        <w:rPr>
          <w:rFonts w:ascii="Source Sans Pro" w:hAnsi="Source Sans Pro" w:cs="Times New Roman"/>
          <w:sz w:val="24"/>
          <w:szCs w:val="24"/>
        </w:rPr>
        <w:t xml:space="preserve">on </w:t>
      </w:r>
      <w:proofErr w:type="spellStart"/>
      <w:r w:rsidR="00FB541D" w:rsidRPr="00D178F9">
        <w:rPr>
          <w:rFonts w:ascii="Source Sans Pro" w:hAnsi="Source Sans Pro" w:cs="Times New Roman"/>
          <w:sz w:val="24"/>
          <w:szCs w:val="24"/>
        </w:rPr>
        <w:t>QMplus</w:t>
      </w:r>
      <w:proofErr w:type="spellEnd"/>
      <w:r w:rsidR="00FB541D" w:rsidRPr="00D178F9">
        <w:rPr>
          <w:rFonts w:ascii="Source Sans Pro" w:hAnsi="Source Sans Pro" w:cs="Times New Roman"/>
          <w:sz w:val="24"/>
          <w:szCs w:val="24"/>
        </w:rPr>
        <w:t>.</w:t>
      </w:r>
      <w:r w:rsidRPr="00D178F9">
        <w:rPr>
          <w:rFonts w:ascii="Source Sans Pro" w:hAnsi="Source Sans Pro" w:cs="Times New Roman"/>
          <w:sz w:val="24"/>
          <w:szCs w:val="24"/>
        </w:rPr>
        <w:t xml:space="preserve"> </w:t>
      </w:r>
    </w:p>
    <w:p w14:paraId="30FC40DD" w14:textId="77777777" w:rsidR="00ED66A3" w:rsidRPr="00D178F9" w:rsidRDefault="00ED66A3" w:rsidP="00ED66A3">
      <w:pPr>
        <w:spacing w:line="360" w:lineRule="auto"/>
        <w:contextualSpacing/>
        <w:rPr>
          <w:rFonts w:ascii="Source Sans Pro" w:hAnsi="Source Sans Pro" w:cs="Times New Roman"/>
          <w:sz w:val="24"/>
          <w:szCs w:val="24"/>
        </w:rPr>
      </w:pPr>
    </w:p>
    <w:p w14:paraId="585123BE" w14:textId="77777777" w:rsidR="00ED66A3" w:rsidRPr="00D178F9" w:rsidRDefault="00ED66A3" w:rsidP="00ED66A3">
      <w:pPr>
        <w:spacing w:line="360" w:lineRule="auto"/>
        <w:contextualSpacing/>
        <w:rPr>
          <w:rFonts w:ascii="Source Sans Pro" w:hAnsi="Source Sans Pro" w:cs="Times New Roman"/>
          <w:b/>
          <w:sz w:val="24"/>
          <w:szCs w:val="24"/>
        </w:rPr>
      </w:pPr>
      <w:r w:rsidRPr="00D178F9">
        <w:rPr>
          <w:rFonts w:ascii="Source Sans Pro" w:hAnsi="Source Sans Pro" w:cs="Times New Roman"/>
          <w:b/>
          <w:sz w:val="24"/>
          <w:szCs w:val="24"/>
        </w:rPr>
        <w:t>MARKING CRITERIA</w:t>
      </w:r>
    </w:p>
    <w:p w14:paraId="3BD51879" w14:textId="38AE3332" w:rsidR="00ED66A3" w:rsidRPr="00D178F9" w:rsidRDefault="00ED66A3" w:rsidP="00D178F9">
      <w:pPr>
        <w:contextualSpacing/>
        <w:jc w:val="both"/>
        <w:rPr>
          <w:rFonts w:ascii="Source Sans Pro" w:hAnsi="Source Sans Pro" w:cs="Times New Roman"/>
          <w:sz w:val="24"/>
          <w:szCs w:val="24"/>
        </w:rPr>
      </w:pPr>
      <w:r w:rsidRPr="00D178F9">
        <w:rPr>
          <w:rFonts w:ascii="Source Sans Pro" w:hAnsi="Source Sans Pro" w:cs="Times New Roman"/>
          <w:sz w:val="24"/>
          <w:szCs w:val="24"/>
        </w:rPr>
        <w:t xml:space="preserve">Essays will be marked according to the </w:t>
      </w:r>
      <w:r w:rsidR="0005615B" w:rsidRPr="00D178F9">
        <w:rPr>
          <w:rFonts w:ascii="Source Sans Pro" w:hAnsi="Source Sans Pro" w:cs="Times New Roman"/>
          <w:sz w:val="24"/>
          <w:szCs w:val="24"/>
        </w:rPr>
        <w:t xml:space="preserve">standard </w:t>
      </w:r>
      <w:r w:rsidRPr="00D178F9">
        <w:rPr>
          <w:rFonts w:ascii="Source Sans Pro" w:hAnsi="Source Sans Pro" w:cs="Times New Roman"/>
          <w:sz w:val="24"/>
          <w:szCs w:val="24"/>
        </w:rPr>
        <w:t xml:space="preserve">criteria </w:t>
      </w:r>
      <w:r w:rsidR="0005615B" w:rsidRPr="00D178F9">
        <w:rPr>
          <w:rFonts w:ascii="Source Sans Pro" w:hAnsi="Source Sans Pro" w:cs="Times New Roman"/>
          <w:sz w:val="24"/>
          <w:szCs w:val="24"/>
        </w:rPr>
        <w:t>for work in Comparative Literature</w:t>
      </w:r>
      <w:r w:rsidRPr="00D178F9">
        <w:rPr>
          <w:rFonts w:ascii="Source Sans Pro" w:hAnsi="Source Sans Pro" w:cs="Times New Roman"/>
          <w:sz w:val="24"/>
          <w:szCs w:val="24"/>
        </w:rPr>
        <w:t>. Over and above these, students are expected to display a detailed and first-hand knowledge of the primary texts for the module</w:t>
      </w:r>
      <w:r w:rsidR="0005615B" w:rsidRPr="00D178F9">
        <w:rPr>
          <w:rFonts w:ascii="Source Sans Pro" w:hAnsi="Source Sans Pro" w:cs="Times New Roman"/>
          <w:sz w:val="24"/>
          <w:szCs w:val="24"/>
        </w:rPr>
        <w:t>,</w:t>
      </w:r>
      <w:r w:rsidRPr="00D178F9">
        <w:rPr>
          <w:rFonts w:ascii="Source Sans Pro" w:hAnsi="Source Sans Pro" w:cs="Times New Roman"/>
          <w:sz w:val="24"/>
          <w:szCs w:val="24"/>
        </w:rPr>
        <w:t xml:space="preserve"> and the capacity to use the critical works to illuminate the plays and vice versa.</w:t>
      </w:r>
    </w:p>
    <w:p w14:paraId="2BEF5982" w14:textId="77777777" w:rsidR="00ED66A3" w:rsidRPr="00D178F9" w:rsidRDefault="00ED66A3" w:rsidP="00ED66A3">
      <w:pPr>
        <w:spacing w:line="360" w:lineRule="auto"/>
        <w:contextualSpacing/>
        <w:rPr>
          <w:rFonts w:ascii="Source Sans Pro" w:eastAsia="Times New Roman" w:hAnsi="Source Sans Pro" w:cs="Times New Roman"/>
          <w:sz w:val="24"/>
          <w:szCs w:val="24"/>
        </w:rPr>
      </w:pPr>
    </w:p>
    <w:p w14:paraId="1E4D5A81" w14:textId="77777777" w:rsidR="00ED66A3" w:rsidRPr="00D178F9" w:rsidRDefault="00ED66A3" w:rsidP="000A41E9">
      <w:pPr>
        <w:spacing w:line="360" w:lineRule="auto"/>
        <w:contextualSpacing/>
        <w:rPr>
          <w:rFonts w:ascii="Source Sans Pro" w:hAnsi="Source Sans Pro" w:cs="Times New Roman"/>
          <w:b/>
          <w:sz w:val="24"/>
          <w:szCs w:val="24"/>
        </w:rPr>
      </w:pPr>
      <w:r w:rsidRPr="00D178F9">
        <w:rPr>
          <w:rFonts w:ascii="Source Sans Pro" w:hAnsi="Source Sans Pro" w:cs="Times New Roman"/>
          <w:b/>
          <w:sz w:val="24"/>
          <w:szCs w:val="24"/>
        </w:rPr>
        <w:t xml:space="preserve">SET TEXTS/PRIMARY READING </w:t>
      </w:r>
    </w:p>
    <w:p w14:paraId="4533F518" w14:textId="70A86D4F" w:rsidR="00ED66A3" w:rsidRPr="00D178F9" w:rsidRDefault="00ED66A3" w:rsidP="00D178F9">
      <w:pPr>
        <w:contextualSpacing/>
        <w:jc w:val="both"/>
        <w:rPr>
          <w:rFonts w:ascii="Source Sans Pro" w:hAnsi="Source Sans Pro" w:cs="Times New Roman"/>
          <w:i/>
          <w:iCs/>
          <w:sz w:val="24"/>
          <w:szCs w:val="24"/>
        </w:rPr>
      </w:pPr>
      <w:r w:rsidRPr="00D178F9">
        <w:rPr>
          <w:rFonts w:ascii="Source Sans Pro" w:hAnsi="Source Sans Pro" w:cs="Times New Roman"/>
          <w:sz w:val="24"/>
          <w:szCs w:val="24"/>
        </w:rPr>
        <w:t>These texts can be read in the original language or in translation. Students should obtain the prescribed translation</w:t>
      </w:r>
      <w:r w:rsidR="0032005A" w:rsidRPr="00D178F9">
        <w:rPr>
          <w:rFonts w:ascii="Source Sans Pro" w:hAnsi="Source Sans Pro" w:cs="Times New Roman"/>
          <w:sz w:val="24"/>
          <w:szCs w:val="24"/>
        </w:rPr>
        <w:t xml:space="preserve">s below </w:t>
      </w:r>
      <w:r w:rsidRPr="00D178F9">
        <w:rPr>
          <w:rFonts w:ascii="Source Sans Pro" w:hAnsi="Source Sans Pro" w:cs="Times New Roman"/>
          <w:sz w:val="24"/>
          <w:szCs w:val="24"/>
        </w:rPr>
        <w:t>to facilitate class work</w:t>
      </w:r>
      <w:r w:rsidR="00B66812" w:rsidRPr="00D178F9">
        <w:rPr>
          <w:rFonts w:ascii="Source Sans Pro" w:hAnsi="Source Sans Pro" w:cs="Times New Roman"/>
          <w:i/>
          <w:iCs/>
          <w:sz w:val="24"/>
          <w:szCs w:val="24"/>
        </w:rPr>
        <w:t xml:space="preserve">. </w:t>
      </w:r>
    </w:p>
    <w:p w14:paraId="417670D6" w14:textId="77777777" w:rsidR="00EA39A0" w:rsidRPr="00D178F9" w:rsidRDefault="00EA39A0" w:rsidP="00D178F9">
      <w:pPr>
        <w:contextualSpacing/>
        <w:jc w:val="both"/>
        <w:rPr>
          <w:rFonts w:ascii="Source Sans Pro" w:hAnsi="Source Sans Pro" w:cs="Times New Roman"/>
          <w:sz w:val="24"/>
          <w:szCs w:val="24"/>
        </w:rPr>
      </w:pPr>
    </w:p>
    <w:p w14:paraId="5D216D37" w14:textId="33458E3B" w:rsidR="00ED66A3" w:rsidRPr="00D178F9" w:rsidRDefault="00ED66A3" w:rsidP="00D178F9">
      <w:pPr>
        <w:ind w:left="568" w:hanging="284"/>
        <w:contextualSpacing/>
        <w:jc w:val="both"/>
        <w:rPr>
          <w:rFonts w:ascii="Source Sans Pro" w:hAnsi="Source Sans Pro" w:cs="Times New Roman"/>
          <w:sz w:val="24"/>
          <w:szCs w:val="24"/>
        </w:rPr>
      </w:pPr>
      <w:r w:rsidRPr="00D178F9">
        <w:rPr>
          <w:rFonts w:ascii="Source Sans Pro" w:hAnsi="Source Sans Pro" w:cs="Times New Roman"/>
          <w:sz w:val="24"/>
          <w:szCs w:val="24"/>
        </w:rPr>
        <w:t xml:space="preserve">Aristotle, </w:t>
      </w:r>
      <w:r w:rsidRPr="00D178F9">
        <w:rPr>
          <w:rFonts w:ascii="Source Sans Pro" w:hAnsi="Source Sans Pro" w:cs="Times New Roman"/>
          <w:i/>
          <w:sz w:val="24"/>
          <w:szCs w:val="24"/>
        </w:rPr>
        <w:t>Poetics</w:t>
      </w:r>
      <w:r w:rsidRPr="00D178F9">
        <w:rPr>
          <w:rFonts w:ascii="Source Sans Pro" w:hAnsi="Source Sans Pro" w:cs="Times New Roman"/>
          <w:sz w:val="24"/>
          <w:szCs w:val="24"/>
        </w:rPr>
        <w:t>, trans</w:t>
      </w:r>
      <w:r w:rsidR="00A67380" w:rsidRPr="00D178F9">
        <w:rPr>
          <w:rFonts w:ascii="Source Sans Pro" w:hAnsi="Source Sans Pro" w:cs="Times New Roman"/>
          <w:sz w:val="24"/>
          <w:szCs w:val="24"/>
        </w:rPr>
        <w:t>.</w:t>
      </w:r>
      <w:r w:rsidRPr="00D178F9">
        <w:rPr>
          <w:rFonts w:ascii="Source Sans Pro" w:hAnsi="Source Sans Pro" w:cs="Times New Roman"/>
          <w:sz w:val="24"/>
          <w:szCs w:val="24"/>
        </w:rPr>
        <w:t xml:space="preserve"> Malcolm Heath (Harmondsworth: Penguin, 1996) </w:t>
      </w:r>
    </w:p>
    <w:p w14:paraId="5D2A10B3" w14:textId="4DA0FE57" w:rsidR="00ED66A3" w:rsidRPr="00D178F9" w:rsidRDefault="000A6D7B" w:rsidP="00D178F9">
      <w:pPr>
        <w:ind w:left="568" w:hanging="284"/>
        <w:contextualSpacing/>
        <w:jc w:val="both"/>
        <w:rPr>
          <w:rFonts w:ascii="Source Sans Pro" w:hAnsi="Source Sans Pro" w:cs="Times New Roman"/>
          <w:sz w:val="24"/>
          <w:szCs w:val="24"/>
          <w:lang w:val="en-US"/>
        </w:rPr>
      </w:pPr>
      <w:r w:rsidRPr="00D178F9">
        <w:rPr>
          <w:rFonts w:ascii="Source Sans Pro" w:hAnsi="Source Sans Pro" w:cs="Times New Roman"/>
          <w:sz w:val="24"/>
          <w:szCs w:val="24"/>
        </w:rPr>
        <w:t xml:space="preserve">Seamus Heaney, </w:t>
      </w:r>
      <w:r w:rsidRPr="00D178F9">
        <w:rPr>
          <w:rFonts w:ascii="Source Sans Pro" w:hAnsi="Source Sans Pro" w:cs="Times New Roman"/>
          <w:i/>
          <w:sz w:val="24"/>
          <w:szCs w:val="24"/>
        </w:rPr>
        <w:t>The Burial at Thebes: A Version of Sophocles’ Antigone</w:t>
      </w:r>
      <w:r w:rsidRPr="00D178F9">
        <w:rPr>
          <w:rFonts w:ascii="Source Sans Pro" w:hAnsi="Source Sans Pro" w:cs="Times New Roman"/>
          <w:sz w:val="24"/>
          <w:szCs w:val="24"/>
          <w:lang w:val="en-US"/>
        </w:rPr>
        <w:t xml:space="preserve"> </w:t>
      </w:r>
      <w:r w:rsidR="00621930" w:rsidRPr="00D178F9">
        <w:rPr>
          <w:rFonts w:ascii="Source Sans Pro" w:hAnsi="Source Sans Pro" w:cs="Times New Roman"/>
          <w:sz w:val="24"/>
          <w:szCs w:val="24"/>
        </w:rPr>
        <w:t>(London: Faber and Faber, 2005)</w:t>
      </w:r>
      <w:r w:rsidR="00A2501B" w:rsidRPr="00D178F9">
        <w:rPr>
          <w:rFonts w:ascii="Source Sans Pro" w:hAnsi="Source Sans Pro" w:cs="Times New Roman"/>
          <w:sz w:val="24"/>
          <w:szCs w:val="24"/>
          <w:lang w:val="en-US"/>
        </w:rPr>
        <w:t xml:space="preserve"> </w:t>
      </w:r>
    </w:p>
    <w:p w14:paraId="56520D50" w14:textId="12E7B113" w:rsidR="00ED66A3" w:rsidRPr="00D178F9" w:rsidRDefault="00ED66A3" w:rsidP="00D178F9">
      <w:pPr>
        <w:ind w:left="568" w:hanging="284"/>
        <w:contextualSpacing/>
        <w:jc w:val="both"/>
        <w:rPr>
          <w:rFonts w:ascii="Source Sans Pro" w:hAnsi="Source Sans Pro" w:cs="Times New Roman"/>
          <w:sz w:val="24"/>
          <w:szCs w:val="24"/>
          <w:lang w:val="en-US"/>
        </w:rPr>
      </w:pPr>
      <w:r w:rsidRPr="00D178F9">
        <w:rPr>
          <w:rFonts w:ascii="Source Sans Pro" w:hAnsi="Source Sans Pro" w:cs="Times New Roman"/>
          <w:sz w:val="24"/>
          <w:szCs w:val="24"/>
          <w:lang w:val="fr-FR"/>
        </w:rPr>
        <w:t>Jean Racine,</w:t>
      </w:r>
      <w:r w:rsidR="00E233D1" w:rsidRPr="00D178F9">
        <w:rPr>
          <w:rFonts w:ascii="Source Sans Pro" w:hAnsi="Source Sans Pro" w:cs="Times New Roman"/>
          <w:sz w:val="24"/>
          <w:szCs w:val="24"/>
          <w:lang w:val="fr-FR"/>
        </w:rPr>
        <w:t xml:space="preserve"> </w:t>
      </w:r>
      <w:proofErr w:type="spellStart"/>
      <w:r w:rsidR="00E233D1" w:rsidRPr="00D178F9">
        <w:rPr>
          <w:rFonts w:ascii="Source Sans Pro" w:hAnsi="Source Sans Pro" w:cs="Times New Roman"/>
          <w:i/>
          <w:iCs/>
          <w:sz w:val="24"/>
          <w:szCs w:val="24"/>
          <w:lang w:val="fr-FR"/>
        </w:rPr>
        <w:t>Phaedra</w:t>
      </w:r>
      <w:proofErr w:type="spellEnd"/>
      <w:r w:rsidR="00E233D1" w:rsidRPr="00D178F9">
        <w:rPr>
          <w:rFonts w:ascii="Source Sans Pro" w:hAnsi="Source Sans Pro" w:cs="Times New Roman"/>
          <w:sz w:val="24"/>
          <w:szCs w:val="24"/>
          <w:lang w:val="fr-FR"/>
        </w:rPr>
        <w:t xml:space="preserve"> (</w:t>
      </w:r>
      <w:r w:rsidR="00E233D1" w:rsidRPr="00D178F9">
        <w:rPr>
          <w:rFonts w:ascii="Source Sans Pro" w:hAnsi="Source Sans Pro" w:cs="Times New Roman"/>
          <w:i/>
          <w:iCs/>
          <w:sz w:val="24"/>
          <w:szCs w:val="24"/>
          <w:lang w:val="fr-FR"/>
        </w:rPr>
        <w:t>Phèdre</w:t>
      </w:r>
      <w:r w:rsidR="00E233D1" w:rsidRPr="00D178F9">
        <w:rPr>
          <w:rFonts w:ascii="Source Sans Pro" w:hAnsi="Source Sans Pro" w:cs="Times New Roman"/>
          <w:sz w:val="24"/>
          <w:szCs w:val="24"/>
          <w:lang w:val="fr-FR"/>
        </w:rPr>
        <w:t>), in</w:t>
      </w:r>
      <w:r w:rsidR="00A67380" w:rsidRPr="00D178F9">
        <w:rPr>
          <w:rFonts w:ascii="Source Sans Pro" w:hAnsi="Source Sans Pro" w:cs="Times New Roman"/>
          <w:sz w:val="24"/>
          <w:szCs w:val="24"/>
          <w:lang w:val="fr-FR"/>
        </w:rPr>
        <w:t xml:space="preserve"> Racine,</w:t>
      </w:r>
      <w:r w:rsidR="00804733" w:rsidRPr="00D178F9">
        <w:rPr>
          <w:rFonts w:ascii="Source Sans Pro" w:hAnsi="Source Sans Pro" w:cs="Times New Roman"/>
          <w:sz w:val="24"/>
          <w:szCs w:val="24"/>
          <w:lang w:val="fr-FR"/>
        </w:rPr>
        <w:t xml:space="preserve"> </w:t>
      </w:r>
      <w:r w:rsidRPr="00D178F9">
        <w:rPr>
          <w:rFonts w:ascii="Source Sans Pro" w:hAnsi="Source Sans Pro" w:cs="Times New Roman"/>
          <w:i/>
          <w:sz w:val="24"/>
          <w:szCs w:val="24"/>
          <w:lang w:val="fr-FR"/>
        </w:rPr>
        <w:t xml:space="preserve">Britannicus, </w:t>
      </w:r>
      <w:proofErr w:type="spellStart"/>
      <w:r w:rsidRPr="00D178F9">
        <w:rPr>
          <w:rFonts w:ascii="Source Sans Pro" w:hAnsi="Source Sans Pro" w:cs="Times New Roman"/>
          <w:i/>
          <w:sz w:val="24"/>
          <w:szCs w:val="24"/>
          <w:lang w:val="fr-FR"/>
        </w:rPr>
        <w:t>Phaedra</w:t>
      </w:r>
      <w:proofErr w:type="spellEnd"/>
      <w:r w:rsidRPr="00D178F9">
        <w:rPr>
          <w:rFonts w:ascii="Source Sans Pro" w:hAnsi="Source Sans Pro" w:cs="Times New Roman"/>
          <w:i/>
          <w:sz w:val="24"/>
          <w:szCs w:val="24"/>
          <w:lang w:val="fr-FR"/>
        </w:rPr>
        <w:t xml:space="preserve">, </w:t>
      </w:r>
      <w:proofErr w:type="spellStart"/>
      <w:r w:rsidRPr="00D178F9">
        <w:rPr>
          <w:rFonts w:ascii="Source Sans Pro" w:hAnsi="Source Sans Pro" w:cs="Times New Roman"/>
          <w:i/>
          <w:sz w:val="24"/>
          <w:szCs w:val="24"/>
          <w:lang w:val="fr-FR"/>
        </w:rPr>
        <w:t>Athaliah</w:t>
      </w:r>
      <w:proofErr w:type="spellEnd"/>
      <w:r w:rsidRPr="00D178F9">
        <w:rPr>
          <w:rFonts w:ascii="Source Sans Pro" w:hAnsi="Source Sans Pro" w:cs="Times New Roman"/>
          <w:sz w:val="24"/>
          <w:szCs w:val="24"/>
          <w:lang w:val="fr-FR"/>
        </w:rPr>
        <w:t>, trans</w:t>
      </w:r>
      <w:r w:rsidR="00A67380" w:rsidRPr="00D178F9">
        <w:rPr>
          <w:rFonts w:ascii="Source Sans Pro" w:hAnsi="Source Sans Pro" w:cs="Times New Roman"/>
          <w:sz w:val="24"/>
          <w:szCs w:val="24"/>
          <w:lang w:val="fr-FR"/>
        </w:rPr>
        <w:t xml:space="preserve">. </w:t>
      </w:r>
      <w:r w:rsidRPr="00D178F9">
        <w:rPr>
          <w:rFonts w:ascii="Source Sans Pro" w:hAnsi="Source Sans Pro" w:cs="Times New Roman"/>
          <w:sz w:val="24"/>
          <w:szCs w:val="24"/>
          <w:lang w:val="en-US"/>
        </w:rPr>
        <w:t>C. H. Sisson</w:t>
      </w:r>
      <w:r w:rsidR="0032005A" w:rsidRPr="00D178F9">
        <w:rPr>
          <w:rFonts w:ascii="Source Sans Pro" w:hAnsi="Source Sans Pro" w:cs="Times New Roman"/>
          <w:sz w:val="24"/>
          <w:szCs w:val="24"/>
          <w:lang w:val="en-US"/>
        </w:rPr>
        <w:t xml:space="preserve"> </w:t>
      </w:r>
      <w:r w:rsidRPr="00D178F9">
        <w:rPr>
          <w:rFonts w:ascii="Source Sans Pro" w:hAnsi="Source Sans Pro" w:cs="Times New Roman"/>
          <w:sz w:val="24"/>
          <w:szCs w:val="24"/>
          <w:lang w:val="en-US"/>
        </w:rPr>
        <w:t>(Oxford: Oxford University Press, 200</w:t>
      </w:r>
      <w:r w:rsidR="00804733" w:rsidRPr="00D178F9">
        <w:rPr>
          <w:rFonts w:ascii="Source Sans Pro" w:hAnsi="Source Sans Pro" w:cs="Times New Roman"/>
          <w:sz w:val="24"/>
          <w:szCs w:val="24"/>
          <w:lang w:val="en-US"/>
        </w:rPr>
        <w:t>1</w:t>
      </w:r>
      <w:r w:rsidR="00FB4CDB" w:rsidRPr="00D178F9">
        <w:rPr>
          <w:rFonts w:ascii="Source Sans Pro" w:hAnsi="Source Sans Pro" w:cs="Times New Roman"/>
          <w:sz w:val="24"/>
          <w:szCs w:val="24"/>
          <w:lang w:val="en-US"/>
        </w:rPr>
        <w:t xml:space="preserve"> [first published 1987]</w:t>
      </w:r>
      <w:r w:rsidRPr="00D178F9">
        <w:rPr>
          <w:rFonts w:ascii="Source Sans Pro" w:hAnsi="Source Sans Pro" w:cs="Times New Roman"/>
          <w:sz w:val="24"/>
          <w:szCs w:val="24"/>
          <w:lang w:val="en-US"/>
        </w:rPr>
        <w:t xml:space="preserve">) </w:t>
      </w:r>
    </w:p>
    <w:p w14:paraId="7EBDFB28" w14:textId="77777777" w:rsidR="00AB1FC0" w:rsidRDefault="00AB1FC0" w:rsidP="00AB1FC0">
      <w:pPr>
        <w:spacing w:after="0"/>
        <w:ind w:left="568" w:hanging="284"/>
        <w:contextualSpacing/>
        <w:jc w:val="both"/>
        <w:rPr>
          <w:rFonts w:ascii="Source Sans Pro" w:eastAsia="Times New Roman" w:hAnsi="Source Sans Pro" w:cs="Times New Roman"/>
          <w:sz w:val="24"/>
          <w:szCs w:val="24"/>
          <w:lang w:eastAsia="en-GB"/>
        </w:rPr>
      </w:pPr>
      <w:r w:rsidRPr="00D178F9">
        <w:rPr>
          <w:rFonts w:ascii="Source Sans Pro" w:eastAsia="Times New Roman" w:hAnsi="Source Sans Pro" w:cs="Times New Roman"/>
          <w:sz w:val="24"/>
          <w:szCs w:val="24"/>
          <w:lang w:eastAsia="en-GB"/>
        </w:rPr>
        <w:t xml:space="preserve">Henrik Ibsen, </w:t>
      </w:r>
      <w:r w:rsidRPr="00D178F9">
        <w:rPr>
          <w:rFonts w:ascii="Source Sans Pro" w:eastAsia="Times New Roman" w:hAnsi="Source Sans Pro" w:cs="Times New Roman"/>
          <w:i/>
          <w:iCs/>
          <w:sz w:val="24"/>
          <w:szCs w:val="24"/>
          <w:lang w:eastAsia="en-GB"/>
        </w:rPr>
        <w:t>Ghosts</w:t>
      </w:r>
      <w:r w:rsidRPr="00D178F9">
        <w:rPr>
          <w:rFonts w:ascii="Source Sans Pro" w:eastAsia="Times New Roman" w:hAnsi="Source Sans Pro" w:cs="Times New Roman"/>
          <w:sz w:val="24"/>
          <w:szCs w:val="24"/>
          <w:lang w:eastAsia="en-GB"/>
        </w:rPr>
        <w:t xml:space="preserve"> (</w:t>
      </w:r>
      <w:proofErr w:type="spellStart"/>
      <w:r w:rsidRPr="00D178F9">
        <w:rPr>
          <w:rFonts w:ascii="Source Sans Pro" w:eastAsia="Times New Roman" w:hAnsi="Source Sans Pro" w:cs="Times New Roman"/>
          <w:i/>
          <w:iCs/>
          <w:sz w:val="24"/>
          <w:szCs w:val="24"/>
          <w:lang w:eastAsia="en-GB"/>
        </w:rPr>
        <w:t>Gengangere</w:t>
      </w:r>
      <w:proofErr w:type="spellEnd"/>
      <w:r w:rsidRPr="00D178F9">
        <w:rPr>
          <w:rFonts w:ascii="Source Sans Pro" w:eastAsia="Times New Roman" w:hAnsi="Source Sans Pro" w:cs="Times New Roman"/>
          <w:sz w:val="24"/>
          <w:szCs w:val="24"/>
          <w:lang w:eastAsia="en-GB"/>
        </w:rPr>
        <w:t xml:space="preserve">), in Ibsen, </w:t>
      </w:r>
      <w:r w:rsidRPr="00D178F9">
        <w:rPr>
          <w:rFonts w:ascii="Source Sans Pro" w:eastAsia="Times New Roman" w:hAnsi="Source Sans Pro" w:cs="Times New Roman"/>
          <w:i/>
          <w:iCs/>
          <w:sz w:val="24"/>
          <w:szCs w:val="24"/>
          <w:lang w:eastAsia="en-GB"/>
        </w:rPr>
        <w:t>Four Major Plays</w:t>
      </w:r>
      <w:r w:rsidRPr="00D178F9">
        <w:rPr>
          <w:rFonts w:ascii="Source Sans Pro" w:eastAsia="Times New Roman" w:hAnsi="Source Sans Pro" w:cs="Times New Roman"/>
          <w:sz w:val="24"/>
          <w:szCs w:val="24"/>
          <w:lang w:eastAsia="en-GB"/>
        </w:rPr>
        <w:t xml:space="preserve"> [</w:t>
      </w:r>
      <w:r w:rsidRPr="00D178F9">
        <w:rPr>
          <w:rFonts w:ascii="Source Sans Pro" w:eastAsia="Times New Roman" w:hAnsi="Source Sans Pro" w:cs="Times New Roman"/>
          <w:i/>
          <w:iCs/>
          <w:sz w:val="24"/>
          <w:szCs w:val="24"/>
          <w:lang w:eastAsia="en-GB"/>
        </w:rPr>
        <w:t>A Doll’s House</w:t>
      </w:r>
      <w:r w:rsidRPr="00D178F9">
        <w:rPr>
          <w:rFonts w:ascii="Source Sans Pro" w:eastAsia="Times New Roman" w:hAnsi="Source Sans Pro" w:cs="Times New Roman"/>
          <w:sz w:val="24"/>
          <w:szCs w:val="24"/>
          <w:lang w:eastAsia="en-GB"/>
        </w:rPr>
        <w:t xml:space="preserve">, </w:t>
      </w:r>
      <w:r w:rsidRPr="00D178F9">
        <w:rPr>
          <w:rFonts w:ascii="Source Sans Pro" w:eastAsia="Times New Roman" w:hAnsi="Source Sans Pro" w:cs="Times New Roman"/>
          <w:i/>
          <w:iCs/>
          <w:sz w:val="24"/>
          <w:szCs w:val="24"/>
          <w:lang w:eastAsia="en-GB"/>
        </w:rPr>
        <w:t>Ghosts</w:t>
      </w:r>
      <w:r w:rsidRPr="00D178F9">
        <w:rPr>
          <w:rFonts w:ascii="Source Sans Pro" w:eastAsia="Times New Roman" w:hAnsi="Source Sans Pro" w:cs="Times New Roman"/>
          <w:sz w:val="24"/>
          <w:szCs w:val="24"/>
          <w:lang w:eastAsia="en-GB"/>
        </w:rPr>
        <w:t xml:space="preserve">, </w:t>
      </w:r>
      <w:r w:rsidRPr="00D178F9">
        <w:rPr>
          <w:rFonts w:ascii="Source Sans Pro" w:eastAsia="Times New Roman" w:hAnsi="Source Sans Pro" w:cs="Times New Roman"/>
          <w:i/>
          <w:iCs/>
          <w:sz w:val="24"/>
          <w:szCs w:val="24"/>
          <w:lang w:eastAsia="en-GB"/>
        </w:rPr>
        <w:t>Hedda Gabler</w:t>
      </w:r>
      <w:r w:rsidRPr="00D178F9">
        <w:rPr>
          <w:rFonts w:ascii="Source Sans Pro" w:eastAsia="Times New Roman" w:hAnsi="Source Sans Pro" w:cs="Times New Roman"/>
          <w:sz w:val="24"/>
          <w:szCs w:val="24"/>
          <w:lang w:eastAsia="en-GB"/>
        </w:rPr>
        <w:t xml:space="preserve">, </w:t>
      </w:r>
      <w:r w:rsidRPr="00D178F9">
        <w:rPr>
          <w:rFonts w:ascii="Source Sans Pro" w:eastAsia="Times New Roman" w:hAnsi="Source Sans Pro" w:cs="Times New Roman"/>
          <w:i/>
          <w:iCs/>
          <w:sz w:val="24"/>
          <w:szCs w:val="24"/>
          <w:lang w:eastAsia="en-GB"/>
        </w:rPr>
        <w:t>The Master Builder</w:t>
      </w:r>
      <w:r w:rsidRPr="00D178F9">
        <w:rPr>
          <w:rFonts w:ascii="Source Sans Pro" w:eastAsia="Times New Roman" w:hAnsi="Source Sans Pro" w:cs="Times New Roman"/>
          <w:sz w:val="24"/>
          <w:szCs w:val="24"/>
          <w:lang w:eastAsia="en-GB"/>
        </w:rPr>
        <w:t>], trans. James McFarlane and Jens Arup, intro. James McFarlane (</w:t>
      </w:r>
      <w:r w:rsidRPr="00D178F9">
        <w:rPr>
          <w:rFonts w:ascii="Source Sans Pro" w:eastAsia="Times New Roman" w:hAnsi="Source Sans Pro" w:cs="Times New Roman"/>
          <w:bCs/>
          <w:sz w:val="24"/>
          <w:szCs w:val="24"/>
          <w:lang w:eastAsia="en-GB"/>
        </w:rPr>
        <w:t>Oxford: Oxford University Press, 2008 [first published 1981]</w:t>
      </w:r>
      <w:r w:rsidRPr="00D178F9">
        <w:rPr>
          <w:rFonts w:ascii="Source Sans Pro" w:eastAsia="Times New Roman" w:hAnsi="Source Sans Pro" w:cs="Times New Roman"/>
          <w:sz w:val="24"/>
          <w:szCs w:val="24"/>
          <w:lang w:eastAsia="en-GB"/>
        </w:rPr>
        <w:t>)</w:t>
      </w:r>
    </w:p>
    <w:p w14:paraId="620B367A" w14:textId="4674D2E1" w:rsidR="00A2501B" w:rsidRPr="00D178F9" w:rsidRDefault="0032005A" w:rsidP="00D178F9">
      <w:pPr>
        <w:spacing w:after="0"/>
        <w:ind w:left="568" w:hanging="284"/>
        <w:contextualSpacing/>
        <w:jc w:val="both"/>
        <w:rPr>
          <w:rFonts w:ascii="Source Sans Pro" w:eastAsia="Times New Roman" w:hAnsi="Source Sans Pro" w:cs="Times New Roman"/>
          <w:sz w:val="24"/>
          <w:szCs w:val="24"/>
          <w:lang w:eastAsia="en-GB"/>
        </w:rPr>
      </w:pPr>
      <w:r w:rsidRPr="00D178F9">
        <w:rPr>
          <w:rFonts w:ascii="Source Sans Pro" w:eastAsia="Times New Roman" w:hAnsi="Source Sans Pro" w:cs="Times New Roman"/>
          <w:sz w:val="24"/>
          <w:szCs w:val="24"/>
          <w:lang w:eastAsia="en-GB"/>
        </w:rPr>
        <w:t xml:space="preserve">Federico García Lorca, </w:t>
      </w:r>
      <w:r w:rsidR="00ED66A3" w:rsidRPr="00D178F9">
        <w:rPr>
          <w:rFonts w:ascii="Source Sans Pro" w:eastAsia="Times New Roman" w:hAnsi="Source Sans Pro" w:cs="Times New Roman"/>
          <w:i/>
          <w:iCs/>
          <w:sz w:val="24"/>
          <w:szCs w:val="24"/>
          <w:lang w:eastAsia="en-GB"/>
        </w:rPr>
        <w:t>Blood Wedding</w:t>
      </w:r>
      <w:r w:rsidR="00411FF6" w:rsidRPr="00D178F9">
        <w:rPr>
          <w:rFonts w:ascii="Source Sans Pro" w:eastAsia="Times New Roman" w:hAnsi="Source Sans Pro" w:cs="Times New Roman"/>
          <w:sz w:val="24"/>
          <w:szCs w:val="24"/>
          <w:lang w:eastAsia="en-GB"/>
        </w:rPr>
        <w:t xml:space="preserve"> (</w:t>
      </w:r>
      <w:r w:rsidR="00411FF6" w:rsidRPr="00D178F9">
        <w:rPr>
          <w:rFonts w:ascii="Source Sans Pro" w:eastAsia="Times New Roman" w:hAnsi="Source Sans Pro" w:cs="Times New Roman"/>
          <w:i/>
          <w:sz w:val="24"/>
          <w:szCs w:val="24"/>
          <w:lang w:eastAsia="en-GB"/>
        </w:rPr>
        <w:t>Bodas d</w:t>
      </w:r>
      <w:proofErr w:type="spellStart"/>
      <w:r w:rsidR="00411FF6" w:rsidRPr="00D178F9">
        <w:rPr>
          <w:rFonts w:ascii="Source Sans Pro" w:eastAsia="Times New Roman" w:hAnsi="Source Sans Pro" w:cs="Times New Roman"/>
          <w:i/>
          <w:sz w:val="24"/>
          <w:szCs w:val="24"/>
          <w:lang w:val="es-ES" w:eastAsia="en-GB"/>
        </w:rPr>
        <w:t>e</w:t>
      </w:r>
      <w:proofErr w:type="spellEnd"/>
      <w:r w:rsidR="00411FF6" w:rsidRPr="00D178F9">
        <w:rPr>
          <w:rFonts w:ascii="Source Sans Pro" w:eastAsia="Times New Roman" w:hAnsi="Source Sans Pro" w:cs="Times New Roman"/>
          <w:i/>
          <w:sz w:val="24"/>
          <w:szCs w:val="24"/>
          <w:lang w:val="es-ES" w:eastAsia="en-GB"/>
        </w:rPr>
        <w:t xml:space="preserve"> sangre</w:t>
      </w:r>
      <w:r w:rsidR="00411FF6" w:rsidRPr="00D178F9">
        <w:rPr>
          <w:rFonts w:ascii="Source Sans Pro" w:eastAsia="Times New Roman" w:hAnsi="Source Sans Pro" w:cs="Times New Roman"/>
          <w:sz w:val="24"/>
          <w:szCs w:val="24"/>
          <w:lang w:eastAsia="en-GB"/>
        </w:rPr>
        <w:t>),</w:t>
      </w:r>
      <w:r w:rsidR="00ED66A3" w:rsidRPr="00D178F9">
        <w:rPr>
          <w:rFonts w:ascii="Source Sans Pro" w:eastAsia="Times New Roman" w:hAnsi="Source Sans Pro" w:cs="Times New Roman"/>
          <w:sz w:val="24"/>
          <w:szCs w:val="24"/>
          <w:lang w:eastAsia="en-GB"/>
        </w:rPr>
        <w:t xml:space="preserve"> </w:t>
      </w:r>
      <w:r w:rsidR="00A67380" w:rsidRPr="00D178F9">
        <w:rPr>
          <w:rFonts w:ascii="Source Sans Pro" w:eastAsia="Times New Roman" w:hAnsi="Source Sans Pro" w:cs="Times New Roman"/>
          <w:sz w:val="24"/>
          <w:szCs w:val="24"/>
          <w:lang w:val="es-ES" w:eastAsia="en-GB"/>
        </w:rPr>
        <w:t xml:space="preserve">in Lorca, </w:t>
      </w:r>
      <w:r w:rsidR="00A67380" w:rsidRPr="00D178F9">
        <w:rPr>
          <w:rFonts w:ascii="Source Sans Pro" w:eastAsia="Times New Roman" w:hAnsi="Source Sans Pro" w:cs="Times New Roman"/>
          <w:i/>
          <w:sz w:val="24"/>
          <w:szCs w:val="24"/>
          <w:lang w:eastAsia="en-GB"/>
        </w:rPr>
        <w:t>Four Major Plays</w:t>
      </w:r>
      <w:r w:rsidR="00A67380" w:rsidRPr="00D178F9">
        <w:rPr>
          <w:rFonts w:ascii="Source Sans Pro" w:eastAsia="Times New Roman" w:hAnsi="Source Sans Pro" w:cs="Times New Roman"/>
          <w:sz w:val="24"/>
          <w:szCs w:val="24"/>
          <w:lang w:eastAsia="en-GB"/>
        </w:rPr>
        <w:t xml:space="preserve"> [</w:t>
      </w:r>
      <w:r w:rsidR="00A67380" w:rsidRPr="00D178F9">
        <w:rPr>
          <w:rFonts w:ascii="Source Sans Pro" w:eastAsia="Times New Roman" w:hAnsi="Source Sans Pro" w:cs="Times New Roman"/>
          <w:i/>
          <w:sz w:val="24"/>
          <w:szCs w:val="24"/>
          <w:lang w:eastAsia="en-GB"/>
        </w:rPr>
        <w:t>Blood Wedding</w:t>
      </w:r>
      <w:r w:rsidR="00A67380" w:rsidRPr="00D178F9">
        <w:rPr>
          <w:rFonts w:ascii="Source Sans Pro" w:eastAsia="Times New Roman" w:hAnsi="Source Sans Pro" w:cs="Times New Roman"/>
          <w:sz w:val="24"/>
          <w:szCs w:val="24"/>
          <w:lang w:eastAsia="en-GB"/>
        </w:rPr>
        <w:t xml:space="preserve">, </w:t>
      </w:r>
      <w:r w:rsidR="00A67380" w:rsidRPr="00D178F9">
        <w:rPr>
          <w:rFonts w:ascii="Source Sans Pro" w:eastAsia="Times New Roman" w:hAnsi="Source Sans Pro" w:cs="Times New Roman"/>
          <w:i/>
          <w:sz w:val="24"/>
          <w:szCs w:val="24"/>
          <w:lang w:eastAsia="en-GB"/>
        </w:rPr>
        <w:t>Yerma</w:t>
      </w:r>
      <w:r w:rsidR="00A67380" w:rsidRPr="00D178F9">
        <w:rPr>
          <w:rFonts w:ascii="Source Sans Pro" w:eastAsia="Times New Roman" w:hAnsi="Source Sans Pro" w:cs="Times New Roman"/>
          <w:sz w:val="24"/>
          <w:szCs w:val="24"/>
          <w:lang w:eastAsia="en-GB"/>
        </w:rPr>
        <w:t xml:space="preserve">, </w:t>
      </w:r>
      <w:r w:rsidR="00A67380" w:rsidRPr="00D178F9">
        <w:rPr>
          <w:rFonts w:ascii="Source Sans Pro" w:eastAsia="Times New Roman" w:hAnsi="Source Sans Pro" w:cs="Times New Roman"/>
          <w:i/>
          <w:sz w:val="24"/>
          <w:szCs w:val="24"/>
          <w:lang w:eastAsia="en-GB"/>
        </w:rPr>
        <w:t>The House of Bernarda Alba</w:t>
      </w:r>
      <w:r w:rsidR="00A67380" w:rsidRPr="00D178F9">
        <w:rPr>
          <w:rFonts w:ascii="Source Sans Pro" w:eastAsia="Times New Roman" w:hAnsi="Source Sans Pro" w:cs="Times New Roman"/>
          <w:sz w:val="24"/>
          <w:szCs w:val="24"/>
          <w:lang w:eastAsia="en-GB"/>
        </w:rPr>
        <w:t xml:space="preserve">, </w:t>
      </w:r>
      <w:r w:rsidR="00A67380" w:rsidRPr="00D178F9">
        <w:rPr>
          <w:rFonts w:ascii="Source Sans Pro" w:eastAsia="Times New Roman" w:hAnsi="Source Sans Pro" w:cs="Times New Roman"/>
          <w:i/>
          <w:sz w:val="24"/>
          <w:szCs w:val="24"/>
          <w:lang w:eastAsia="en-GB"/>
        </w:rPr>
        <w:t>Doña Rosita the Spinster</w:t>
      </w:r>
      <w:r w:rsidR="00A67380" w:rsidRPr="00D178F9">
        <w:rPr>
          <w:rFonts w:ascii="Source Sans Pro" w:eastAsia="Times New Roman" w:hAnsi="Source Sans Pro" w:cs="Times New Roman"/>
          <w:sz w:val="24"/>
          <w:szCs w:val="24"/>
          <w:lang w:eastAsia="en-GB"/>
        </w:rPr>
        <w:t xml:space="preserve">], ed. </w:t>
      </w:r>
      <w:r w:rsidR="00A67380" w:rsidRPr="00D178F9">
        <w:rPr>
          <w:rFonts w:ascii="Source Sans Pro" w:eastAsia="Times New Roman" w:hAnsi="Source Sans Pro" w:cs="Times New Roman"/>
          <w:bCs/>
          <w:sz w:val="24"/>
          <w:szCs w:val="24"/>
          <w:lang w:eastAsia="en-GB"/>
        </w:rPr>
        <w:t>Nicholas Round, t</w:t>
      </w:r>
      <w:r w:rsidR="00A67380" w:rsidRPr="00D178F9">
        <w:rPr>
          <w:rFonts w:ascii="Source Sans Pro" w:eastAsia="Times New Roman" w:hAnsi="Source Sans Pro" w:cs="Times New Roman"/>
          <w:sz w:val="24"/>
          <w:szCs w:val="24"/>
          <w:lang w:eastAsia="en-GB"/>
        </w:rPr>
        <w:t xml:space="preserve">rans. </w:t>
      </w:r>
      <w:r w:rsidR="00A67380" w:rsidRPr="00D178F9">
        <w:rPr>
          <w:rFonts w:ascii="Source Sans Pro" w:eastAsia="Times New Roman" w:hAnsi="Source Sans Pro" w:cs="Times New Roman"/>
          <w:bCs/>
          <w:sz w:val="24"/>
          <w:szCs w:val="24"/>
          <w:lang w:eastAsia="en-GB"/>
        </w:rPr>
        <w:t>John Edmunds, w</w:t>
      </w:r>
      <w:r w:rsidR="00A67380" w:rsidRPr="00D178F9">
        <w:rPr>
          <w:rFonts w:ascii="Source Sans Pro" w:eastAsia="Times New Roman" w:hAnsi="Source Sans Pro" w:cs="Times New Roman"/>
          <w:sz w:val="24"/>
          <w:szCs w:val="24"/>
          <w:lang w:eastAsia="en-GB"/>
        </w:rPr>
        <w:t xml:space="preserve">ith notes by </w:t>
      </w:r>
      <w:r w:rsidR="00A67380" w:rsidRPr="00D178F9">
        <w:rPr>
          <w:rFonts w:ascii="Source Sans Pro" w:eastAsia="Times New Roman" w:hAnsi="Source Sans Pro" w:cs="Times New Roman"/>
          <w:bCs/>
          <w:sz w:val="24"/>
          <w:szCs w:val="24"/>
          <w:lang w:eastAsia="en-GB"/>
        </w:rPr>
        <w:t>Ann Maclaren (Oxford: Oxford University Press, 2008 [first published 1997]</w:t>
      </w:r>
      <w:r w:rsidR="00DB0C71" w:rsidRPr="00D178F9">
        <w:rPr>
          <w:rFonts w:ascii="Source Sans Pro" w:eastAsia="Times New Roman" w:hAnsi="Source Sans Pro" w:cs="Times New Roman"/>
          <w:sz w:val="24"/>
          <w:szCs w:val="24"/>
          <w:lang w:eastAsia="en-GB"/>
        </w:rPr>
        <w:t>)</w:t>
      </w:r>
    </w:p>
    <w:p w14:paraId="46EB0BAB" w14:textId="3DD2559D" w:rsidR="00C0011F" w:rsidRDefault="00C0011F">
      <w:pPr>
        <w:spacing w:after="0"/>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br w:type="page"/>
      </w:r>
    </w:p>
    <w:p w14:paraId="4D695D6E" w14:textId="77777777" w:rsidR="000A41E9" w:rsidRPr="000A41E9" w:rsidRDefault="000A41E9" w:rsidP="000A41E9">
      <w:pPr>
        <w:jc w:val="both"/>
        <w:rPr>
          <w:rFonts w:ascii="Source Sans Pro" w:eastAsia="Times New Roman" w:hAnsi="Source Sans Pro" w:cs="Times New Roman"/>
          <w:b/>
          <w:sz w:val="24"/>
          <w:szCs w:val="24"/>
          <w:lang w:eastAsia="en-GB"/>
        </w:rPr>
      </w:pPr>
      <w:r w:rsidRPr="000A41E9">
        <w:rPr>
          <w:rFonts w:ascii="Source Sans Pro" w:eastAsia="Times New Roman" w:hAnsi="Source Sans Pro" w:cs="Times New Roman"/>
          <w:b/>
          <w:sz w:val="24"/>
          <w:szCs w:val="24"/>
          <w:lang w:eastAsia="en-GB"/>
        </w:rPr>
        <w:lastRenderedPageBreak/>
        <w:t>LECTURE AND SEMINAR SCHEDULE</w:t>
      </w:r>
    </w:p>
    <w:p w14:paraId="26978EC1" w14:textId="467ECBE9" w:rsidR="000A41E9" w:rsidRDefault="00FD5C04" w:rsidP="000A41E9">
      <w:pPr>
        <w:spacing w:after="120"/>
        <w:ind w:left="7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 xml:space="preserve">Guidance on reading tasks will be supplied via </w:t>
      </w:r>
      <w:proofErr w:type="spellStart"/>
      <w:r>
        <w:rPr>
          <w:rFonts w:ascii="Source Sans Pro" w:eastAsia="Times New Roman" w:hAnsi="Source Sans Pro" w:cs="Times New Roman"/>
          <w:sz w:val="24"/>
          <w:szCs w:val="24"/>
          <w:lang w:eastAsia="en-GB"/>
        </w:rPr>
        <w:t>QMplus</w:t>
      </w:r>
      <w:proofErr w:type="spellEnd"/>
    </w:p>
    <w:p w14:paraId="116A2EB8" w14:textId="374FAB77" w:rsidR="001A64AC" w:rsidRDefault="001A64AC" w:rsidP="000A41E9">
      <w:pPr>
        <w:spacing w:after="120"/>
        <w:ind w:left="720"/>
        <w:jc w:val="both"/>
        <w:rPr>
          <w:rFonts w:ascii="Source Sans Pro" w:eastAsia="Times New Roman" w:hAnsi="Source Sans Pro" w:cs="Times New Roman"/>
          <w:sz w:val="24"/>
          <w:szCs w:val="24"/>
          <w:lang w:eastAsia="en-GB"/>
        </w:rPr>
      </w:pPr>
      <w:r w:rsidRPr="001A64AC">
        <w:rPr>
          <w:rFonts w:ascii="Source Sans Pro" w:eastAsia="Times New Roman" w:hAnsi="Source Sans Pro" w:cs="Times New Roman"/>
          <w:b/>
          <w:bCs/>
          <w:sz w:val="24"/>
          <w:szCs w:val="24"/>
          <w:lang w:eastAsia="en-GB"/>
        </w:rPr>
        <w:t>L</w:t>
      </w:r>
      <w:r>
        <w:rPr>
          <w:rFonts w:ascii="Source Sans Pro" w:eastAsia="Times New Roman" w:hAnsi="Source Sans Pro" w:cs="Times New Roman"/>
          <w:sz w:val="24"/>
          <w:szCs w:val="24"/>
          <w:lang w:eastAsia="en-GB"/>
        </w:rPr>
        <w:t xml:space="preserve"> = lecture; </w:t>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 seminar</w:t>
      </w:r>
    </w:p>
    <w:p w14:paraId="2833BA1F" w14:textId="25EC4585" w:rsidR="001341D1" w:rsidRDefault="000A41E9" w:rsidP="00D36C7E">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Week 1</w:t>
      </w:r>
      <w:r w:rsidR="00D36C7E">
        <w:rPr>
          <w:rFonts w:ascii="Source Sans Pro" w:eastAsia="Times New Roman" w:hAnsi="Source Sans Pro" w:cs="Times New Roman"/>
          <w:sz w:val="24"/>
          <w:szCs w:val="24"/>
          <w:lang w:eastAsia="en-GB"/>
        </w:rPr>
        <w:tab/>
        <w:t>[</w:t>
      </w:r>
      <w:r w:rsidR="002D6344">
        <w:rPr>
          <w:rFonts w:ascii="Source Sans Pro" w:eastAsia="Times New Roman" w:hAnsi="Source Sans Pro" w:cs="Times New Roman"/>
          <w:sz w:val="24"/>
          <w:szCs w:val="24"/>
          <w:lang w:eastAsia="en-GB"/>
        </w:rPr>
        <w:t>Video clips</w:t>
      </w:r>
      <w:r w:rsidR="00D36C7E">
        <w:rPr>
          <w:rFonts w:ascii="Source Sans Pro" w:eastAsia="Times New Roman" w:hAnsi="Source Sans Pro" w:cs="Times New Roman"/>
          <w:sz w:val="24"/>
          <w:szCs w:val="24"/>
          <w:lang w:eastAsia="en-GB"/>
        </w:rPr>
        <w:t>]</w:t>
      </w:r>
      <w:r w:rsidR="00670B94">
        <w:rPr>
          <w:rFonts w:ascii="Source Sans Pro" w:eastAsia="Times New Roman" w:hAnsi="Source Sans Pro" w:cs="Times New Roman"/>
          <w:sz w:val="24"/>
          <w:szCs w:val="24"/>
          <w:lang w:eastAsia="en-GB"/>
        </w:rPr>
        <w:tab/>
      </w:r>
      <w:r w:rsidRPr="000A41E9">
        <w:rPr>
          <w:rFonts w:ascii="Source Sans Pro" w:eastAsia="Times New Roman" w:hAnsi="Source Sans Pro" w:cs="Times New Roman"/>
          <w:sz w:val="24"/>
          <w:szCs w:val="24"/>
          <w:lang w:eastAsia="en-GB"/>
        </w:rPr>
        <w:t xml:space="preserve">Introduction: </w:t>
      </w:r>
      <w:r w:rsidR="001341D1">
        <w:rPr>
          <w:rFonts w:ascii="Source Sans Pro" w:eastAsia="Times New Roman" w:hAnsi="Source Sans Pro" w:cs="Times New Roman"/>
          <w:sz w:val="24"/>
          <w:szCs w:val="24"/>
          <w:lang w:eastAsia="en-GB"/>
        </w:rPr>
        <w:t>Practical aspects of the module</w:t>
      </w:r>
    </w:p>
    <w:p w14:paraId="012D8717" w14:textId="7397D475" w:rsidR="00670B94" w:rsidRDefault="00670B94" w:rsidP="00D36C7E">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t>A</w:t>
      </w:r>
      <w:r w:rsidR="001134EE">
        <w:rPr>
          <w:rFonts w:ascii="Source Sans Pro" w:eastAsia="Times New Roman" w:hAnsi="Source Sans Pro" w:cs="Times New Roman"/>
          <w:sz w:val="24"/>
          <w:szCs w:val="24"/>
          <w:lang w:eastAsia="en-GB"/>
        </w:rPr>
        <w:t>ncient tragic theory: A</w:t>
      </w:r>
      <w:r>
        <w:rPr>
          <w:rFonts w:ascii="Source Sans Pro" w:eastAsia="Times New Roman" w:hAnsi="Source Sans Pro" w:cs="Times New Roman"/>
          <w:sz w:val="24"/>
          <w:szCs w:val="24"/>
          <w:lang w:eastAsia="en-GB"/>
        </w:rPr>
        <w:t xml:space="preserve">ristotle’s </w:t>
      </w:r>
      <w:r w:rsidRPr="00670B94">
        <w:rPr>
          <w:rFonts w:ascii="Source Sans Pro" w:eastAsia="Times New Roman" w:hAnsi="Source Sans Pro" w:cs="Times New Roman"/>
          <w:i/>
          <w:iCs/>
          <w:sz w:val="24"/>
          <w:szCs w:val="24"/>
          <w:lang w:eastAsia="en-GB"/>
        </w:rPr>
        <w:t>Poetics</w:t>
      </w:r>
    </w:p>
    <w:p w14:paraId="41EA722B" w14:textId="0529D68E" w:rsidR="000A41E9" w:rsidRDefault="000A41E9" w:rsidP="00D36C7E">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Week 2</w:t>
      </w:r>
      <w:r w:rsidR="001134EE">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001A64AC" w:rsidRPr="001A64AC">
        <w:rPr>
          <w:rFonts w:ascii="Source Sans Pro" w:eastAsia="Times New Roman" w:hAnsi="Source Sans Pro" w:cs="Times New Roman"/>
          <w:b/>
          <w:bCs/>
          <w:sz w:val="24"/>
          <w:szCs w:val="24"/>
          <w:lang w:eastAsia="en-GB"/>
        </w:rPr>
        <w:t>S</w:t>
      </w:r>
      <w:r w:rsidR="001A64AC">
        <w:rPr>
          <w:rFonts w:ascii="Source Sans Pro" w:eastAsia="Times New Roman" w:hAnsi="Source Sans Pro" w:cs="Times New Roman"/>
          <w:sz w:val="24"/>
          <w:szCs w:val="24"/>
          <w:lang w:eastAsia="en-GB"/>
        </w:rPr>
        <w:t xml:space="preserve"> </w:t>
      </w:r>
      <w:r w:rsidR="00BC2EBB">
        <w:rPr>
          <w:rFonts w:ascii="Source Sans Pro" w:eastAsia="Times New Roman" w:hAnsi="Source Sans Pro" w:cs="Times New Roman"/>
          <w:sz w:val="24"/>
          <w:szCs w:val="24"/>
          <w:lang w:eastAsia="en-GB"/>
        </w:rPr>
        <w:t>Mon</w:t>
      </w:r>
      <w:r w:rsidR="00BC2EBB">
        <w:rPr>
          <w:rFonts w:ascii="Source Sans Pro" w:eastAsia="Times New Roman" w:hAnsi="Source Sans Pro" w:cs="Times New Roman"/>
          <w:sz w:val="24"/>
          <w:szCs w:val="24"/>
          <w:lang w:eastAsia="en-GB"/>
        </w:rPr>
        <w:tab/>
      </w:r>
      <w:r w:rsidR="00BC2EBB">
        <w:rPr>
          <w:rFonts w:ascii="Source Sans Pro" w:eastAsia="Times New Roman" w:hAnsi="Source Sans Pro" w:cs="Times New Roman"/>
          <w:sz w:val="24"/>
          <w:szCs w:val="24"/>
          <w:lang w:eastAsia="en-GB"/>
        </w:rPr>
        <w:tab/>
      </w:r>
      <w:r w:rsidR="00EB242F">
        <w:rPr>
          <w:rFonts w:ascii="Source Sans Pro" w:eastAsia="Times New Roman" w:hAnsi="Source Sans Pro" w:cs="Times New Roman"/>
          <w:sz w:val="24"/>
          <w:szCs w:val="24"/>
          <w:lang w:eastAsia="en-GB"/>
        </w:rPr>
        <w:t xml:space="preserve">Reflecting on Aristotle’s </w:t>
      </w:r>
      <w:r w:rsidR="00EB242F" w:rsidRPr="00EB242F">
        <w:rPr>
          <w:rFonts w:ascii="Source Sans Pro" w:eastAsia="Times New Roman" w:hAnsi="Source Sans Pro" w:cs="Times New Roman"/>
          <w:i/>
          <w:iCs/>
          <w:sz w:val="24"/>
          <w:szCs w:val="24"/>
          <w:lang w:eastAsia="en-GB"/>
        </w:rPr>
        <w:t>Poetics</w:t>
      </w:r>
      <w:r w:rsidR="009639C6">
        <w:rPr>
          <w:rFonts w:ascii="Source Sans Pro" w:eastAsia="Times New Roman" w:hAnsi="Source Sans Pro" w:cs="Times New Roman"/>
          <w:sz w:val="24"/>
          <w:szCs w:val="24"/>
          <w:lang w:eastAsia="en-GB"/>
        </w:rPr>
        <w:t xml:space="preserve"> / </w:t>
      </w:r>
      <w:r w:rsidR="004D4B85">
        <w:rPr>
          <w:rFonts w:ascii="Source Sans Pro" w:eastAsia="Times New Roman" w:hAnsi="Source Sans Pro" w:cs="Times New Roman"/>
          <w:sz w:val="24"/>
          <w:szCs w:val="24"/>
          <w:lang w:eastAsia="en-GB"/>
        </w:rPr>
        <w:t>Team exercise: creative synopsis</w:t>
      </w:r>
    </w:p>
    <w:p w14:paraId="365E81F9" w14:textId="1A024933" w:rsidR="00FF026B" w:rsidRPr="000A41E9" w:rsidRDefault="00FF026B" w:rsidP="00D36C7E">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001A64AC" w:rsidRPr="001A64AC">
        <w:rPr>
          <w:rFonts w:ascii="Source Sans Pro" w:eastAsia="Times New Roman" w:hAnsi="Source Sans Pro" w:cs="Times New Roman"/>
          <w:b/>
          <w:bCs/>
          <w:sz w:val="24"/>
          <w:szCs w:val="24"/>
          <w:lang w:eastAsia="en-GB"/>
        </w:rPr>
        <w:t>L</w:t>
      </w:r>
      <w:r w:rsidR="001A64AC">
        <w:rPr>
          <w:rFonts w:ascii="Source Sans Pro" w:eastAsia="Times New Roman" w:hAnsi="Source Sans Pro" w:cs="Times New Roman"/>
          <w:sz w:val="24"/>
          <w:szCs w:val="24"/>
          <w:lang w:eastAsia="en-GB"/>
        </w:rPr>
        <w:t xml:space="preserve"> </w:t>
      </w:r>
      <w:r>
        <w:rPr>
          <w:rFonts w:ascii="Source Sans Pro" w:eastAsia="Times New Roman" w:hAnsi="Source Sans Pro" w:cs="Times New Roman"/>
          <w:sz w:val="24"/>
          <w:szCs w:val="24"/>
          <w:lang w:eastAsia="en-GB"/>
        </w:rPr>
        <w:t>Thu</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1A64AC">
        <w:rPr>
          <w:rFonts w:ascii="Source Sans Pro" w:eastAsia="Times New Roman" w:hAnsi="Source Sans Pro" w:cs="Times New Roman"/>
          <w:sz w:val="24"/>
          <w:szCs w:val="24"/>
          <w:lang w:eastAsia="en-GB"/>
        </w:rPr>
        <w:tab/>
      </w:r>
      <w:r w:rsidR="00A16E68">
        <w:rPr>
          <w:rFonts w:ascii="Source Sans Pro" w:eastAsia="Times New Roman" w:hAnsi="Source Sans Pro" w:cs="Times New Roman"/>
          <w:sz w:val="24"/>
          <w:szCs w:val="24"/>
          <w:lang w:eastAsia="en-GB"/>
        </w:rPr>
        <w:t xml:space="preserve">Tragedy in ancient Greece; </w:t>
      </w:r>
      <w:r w:rsidR="0012709C">
        <w:rPr>
          <w:rFonts w:ascii="Source Sans Pro" w:eastAsia="Times New Roman" w:hAnsi="Source Sans Pro" w:cs="Times New Roman"/>
          <w:sz w:val="24"/>
          <w:szCs w:val="24"/>
          <w:lang w:eastAsia="en-GB"/>
        </w:rPr>
        <w:t xml:space="preserve">Sophocles, </w:t>
      </w:r>
      <w:r w:rsidR="0012709C" w:rsidRPr="0012709C">
        <w:rPr>
          <w:rFonts w:ascii="Source Sans Pro" w:eastAsia="Times New Roman" w:hAnsi="Source Sans Pro" w:cs="Times New Roman"/>
          <w:i/>
          <w:iCs/>
          <w:sz w:val="24"/>
          <w:szCs w:val="24"/>
          <w:lang w:eastAsia="en-GB"/>
        </w:rPr>
        <w:t>Antigone</w:t>
      </w:r>
    </w:p>
    <w:p w14:paraId="08D9B6C9" w14:textId="083FCBE7" w:rsidR="0012709C" w:rsidRDefault="0012709C" w:rsidP="0012709C">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3</w:t>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201D87">
        <w:rPr>
          <w:rFonts w:ascii="Source Sans Pro" w:eastAsia="Times New Roman" w:hAnsi="Source Sans Pro" w:cs="Times New Roman"/>
          <w:sz w:val="24"/>
          <w:szCs w:val="24"/>
          <w:lang w:eastAsia="en-GB"/>
        </w:rPr>
        <w:t>The Antigone Inquiry Session 1</w:t>
      </w:r>
    </w:p>
    <w:p w14:paraId="2345EF00" w14:textId="09590397" w:rsidR="0012709C" w:rsidRPr="000A41E9" w:rsidRDefault="0012709C" w:rsidP="0012709C">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L</w:t>
      </w:r>
      <w:r>
        <w:rPr>
          <w:rFonts w:ascii="Source Sans Pro" w:eastAsia="Times New Roman" w:hAnsi="Source Sans Pro" w:cs="Times New Roman"/>
          <w:sz w:val="24"/>
          <w:szCs w:val="24"/>
          <w:lang w:eastAsia="en-GB"/>
        </w:rPr>
        <w:t xml:space="preserve"> Thu</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t xml:space="preserve">Sophocles, </w:t>
      </w:r>
      <w:r w:rsidRPr="0012709C">
        <w:rPr>
          <w:rFonts w:ascii="Source Sans Pro" w:eastAsia="Times New Roman" w:hAnsi="Source Sans Pro" w:cs="Times New Roman"/>
          <w:i/>
          <w:iCs/>
          <w:sz w:val="24"/>
          <w:szCs w:val="24"/>
          <w:lang w:eastAsia="en-GB"/>
        </w:rPr>
        <w:t>Antigone</w:t>
      </w:r>
    </w:p>
    <w:p w14:paraId="26887027" w14:textId="027B56CB" w:rsidR="003075A2" w:rsidRDefault="003075A2" w:rsidP="003075A2">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4</w:t>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t>The Antigone Inquiry Session 2</w:t>
      </w:r>
    </w:p>
    <w:p w14:paraId="5B434BC0" w14:textId="35B5A2A2" w:rsidR="003075A2" w:rsidRPr="000A41E9" w:rsidRDefault="003075A2" w:rsidP="003075A2">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L</w:t>
      </w:r>
      <w:r>
        <w:rPr>
          <w:rFonts w:ascii="Source Sans Pro" w:eastAsia="Times New Roman" w:hAnsi="Source Sans Pro" w:cs="Times New Roman"/>
          <w:sz w:val="24"/>
          <w:szCs w:val="24"/>
          <w:lang w:eastAsia="en-GB"/>
        </w:rPr>
        <w:t xml:space="preserve"> Thu</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920010" w:rsidRPr="000A41E9">
        <w:rPr>
          <w:rFonts w:ascii="Source Sans Pro" w:eastAsia="Times New Roman" w:hAnsi="Source Sans Pro" w:cs="Times New Roman"/>
          <w:sz w:val="24"/>
          <w:szCs w:val="24"/>
          <w:lang w:eastAsia="en-GB"/>
        </w:rPr>
        <w:t xml:space="preserve">Racine, </w:t>
      </w:r>
      <w:r w:rsidR="00920010" w:rsidRPr="000A41E9">
        <w:rPr>
          <w:rFonts w:ascii="Source Sans Pro" w:eastAsia="Times New Roman" w:hAnsi="Source Sans Pro" w:cs="Times New Roman"/>
          <w:i/>
          <w:iCs/>
          <w:sz w:val="24"/>
          <w:szCs w:val="24"/>
          <w:lang w:eastAsia="en-GB"/>
        </w:rPr>
        <w:t>Phaedra</w:t>
      </w:r>
    </w:p>
    <w:p w14:paraId="1EF045FF" w14:textId="6AA73686" w:rsidR="00920010" w:rsidRDefault="00920010" w:rsidP="00920010">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5</w:t>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BB11E8" w:rsidRPr="000A41E9">
        <w:rPr>
          <w:rFonts w:ascii="Source Sans Pro" w:eastAsia="Times New Roman" w:hAnsi="Source Sans Pro" w:cs="Times New Roman"/>
          <w:i/>
          <w:iCs/>
          <w:sz w:val="24"/>
          <w:szCs w:val="24"/>
          <w:lang w:eastAsia="en-GB"/>
        </w:rPr>
        <w:t>Phaedra</w:t>
      </w:r>
      <w:r w:rsidR="00214D0F">
        <w:rPr>
          <w:rFonts w:ascii="Source Sans Pro" w:eastAsia="Times New Roman" w:hAnsi="Source Sans Pro" w:cs="Times New Roman"/>
          <w:sz w:val="24"/>
          <w:szCs w:val="24"/>
          <w:lang w:eastAsia="en-GB"/>
        </w:rPr>
        <w:t>: close reading</w:t>
      </w:r>
    </w:p>
    <w:p w14:paraId="02BA10D9" w14:textId="15C72C8B" w:rsidR="00920010" w:rsidRPr="000A41E9" w:rsidRDefault="00920010" w:rsidP="00920010">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00083AE1">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Thu</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52605">
        <w:rPr>
          <w:rFonts w:ascii="Source Sans Pro" w:eastAsia="Times New Roman" w:hAnsi="Source Sans Pro" w:cs="Times New Roman"/>
          <w:sz w:val="24"/>
          <w:szCs w:val="24"/>
          <w:lang w:eastAsia="en-GB"/>
        </w:rPr>
        <w:t xml:space="preserve">The Artistic Committee: </w:t>
      </w:r>
      <w:r w:rsidR="00F666AD">
        <w:rPr>
          <w:rFonts w:ascii="Source Sans Pro" w:eastAsia="Times New Roman" w:hAnsi="Source Sans Pro" w:cs="Times New Roman"/>
          <w:sz w:val="24"/>
          <w:szCs w:val="24"/>
          <w:lang w:eastAsia="en-GB"/>
        </w:rPr>
        <w:t>Consultations on</w:t>
      </w:r>
      <w:r w:rsidR="00FC1E0C">
        <w:rPr>
          <w:rFonts w:ascii="Source Sans Pro" w:eastAsia="Times New Roman" w:hAnsi="Source Sans Pro" w:cs="Times New Roman"/>
          <w:sz w:val="24"/>
          <w:szCs w:val="24"/>
          <w:lang w:eastAsia="en-GB"/>
        </w:rPr>
        <w:t xml:space="preserve"> Producing</w:t>
      </w:r>
      <w:r w:rsidRPr="000A41E9">
        <w:rPr>
          <w:rFonts w:ascii="Source Sans Pro" w:eastAsia="Times New Roman" w:hAnsi="Source Sans Pro" w:cs="Times New Roman"/>
          <w:sz w:val="24"/>
          <w:szCs w:val="24"/>
          <w:lang w:eastAsia="en-GB"/>
        </w:rPr>
        <w:t xml:space="preserve"> </w:t>
      </w:r>
      <w:r w:rsidRPr="000A41E9">
        <w:rPr>
          <w:rFonts w:ascii="Source Sans Pro" w:eastAsia="Times New Roman" w:hAnsi="Source Sans Pro" w:cs="Times New Roman"/>
          <w:i/>
          <w:iCs/>
          <w:sz w:val="24"/>
          <w:szCs w:val="24"/>
          <w:lang w:eastAsia="en-GB"/>
        </w:rPr>
        <w:t>Phaedra</w:t>
      </w:r>
    </w:p>
    <w:p w14:paraId="0A0CABF0" w14:textId="6902BC3B" w:rsidR="00F666AD" w:rsidRDefault="00F666AD" w:rsidP="00F666AD">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sidR="00587DBD">
        <w:rPr>
          <w:rFonts w:ascii="Source Sans Pro" w:eastAsia="Times New Roman" w:hAnsi="Source Sans Pro" w:cs="Times New Roman"/>
          <w:sz w:val="24"/>
          <w:szCs w:val="24"/>
          <w:lang w:eastAsia="en-GB"/>
        </w:rPr>
        <w:t>6</w:t>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Pr="000A41E9">
        <w:rPr>
          <w:rFonts w:ascii="Source Sans Pro" w:eastAsia="Times New Roman" w:hAnsi="Source Sans Pro" w:cs="Times New Roman"/>
          <w:i/>
          <w:iCs/>
          <w:sz w:val="24"/>
          <w:szCs w:val="24"/>
          <w:lang w:eastAsia="en-GB"/>
        </w:rPr>
        <w:t>Phaedra</w:t>
      </w:r>
      <w:r>
        <w:rPr>
          <w:rFonts w:ascii="Source Sans Pro" w:eastAsia="Times New Roman" w:hAnsi="Source Sans Pro" w:cs="Times New Roman"/>
          <w:sz w:val="24"/>
          <w:szCs w:val="24"/>
          <w:lang w:eastAsia="en-GB"/>
        </w:rPr>
        <w:t xml:space="preserve">: close reading </w:t>
      </w:r>
      <w:r w:rsidRPr="00587DBD">
        <w:rPr>
          <w:rFonts w:ascii="Source Sans Pro" w:eastAsia="Times New Roman" w:hAnsi="Source Sans Pro" w:cs="Times New Roman"/>
          <w:b/>
          <w:bCs/>
          <w:sz w:val="24"/>
          <w:szCs w:val="24"/>
          <w:lang w:eastAsia="en-GB"/>
        </w:rPr>
        <w:t xml:space="preserve">NB </w:t>
      </w:r>
      <w:r w:rsidR="00587DBD" w:rsidRPr="00587DBD">
        <w:rPr>
          <w:rFonts w:ascii="Source Sans Pro" w:eastAsia="Times New Roman" w:hAnsi="Source Sans Pro" w:cs="Times New Roman"/>
          <w:b/>
          <w:bCs/>
          <w:sz w:val="24"/>
          <w:szCs w:val="24"/>
          <w:lang w:eastAsia="en-GB"/>
        </w:rPr>
        <w:t>assignment 1 due 1300 today</w:t>
      </w:r>
    </w:p>
    <w:p w14:paraId="232CDD85" w14:textId="142CEAF5" w:rsidR="00F666AD" w:rsidRPr="000A41E9" w:rsidRDefault="00F666AD" w:rsidP="00F666AD">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007D01D4">
        <w:rPr>
          <w:rFonts w:ascii="Source Sans Pro" w:eastAsia="Times New Roman" w:hAnsi="Source Sans Pro" w:cs="Times New Roman"/>
          <w:b/>
          <w:bCs/>
          <w:sz w:val="24"/>
          <w:szCs w:val="24"/>
          <w:lang w:eastAsia="en-GB"/>
        </w:rPr>
        <w:t>L</w:t>
      </w:r>
      <w:r w:rsidRPr="00AB1FC0">
        <w:rPr>
          <w:rFonts w:ascii="Source Sans Pro" w:eastAsia="Times New Roman" w:hAnsi="Source Sans Pro" w:cs="Times New Roman"/>
          <w:sz w:val="24"/>
          <w:szCs w:val="24"/>
          <w:lang w:eastAsia="en-GB"/>
        </w:rPr>
        <w:t xml:space="preserve"> Thu</w:t>
      </w:r>
      <w:r w:rsidRPr="00AB1FC0">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sz w:val="24"/>
          <w:szCs w:val="24"/>
          <w:lang w:eastAsia="en-GB"/>
        </w:rPr>
        <w:tab/>
      </w:r>
      <w:r w:rsidR="007D01D4">
        <w:rPr>
          <w:rFonts w:ascii="Source Sans Pro" w:eastAsia="Times New Roman" w:hAnsi="Source Sans Pro" w:cs="Times New Roman"/>
          <w:sz w:val="24"/>
          <w:szCs w:val="24"/>
          <w:lang w:eastAsia="en-GB"/>
        </w:rPr>
        <w:tab/>
      </w:r>
      <w:r w:rsidR="00AB1FC0" w:rsidRPr="00AB1FC0">
        <w:rPr>
          <w:rFonts w:ascii="Source Sans Pro" w:eastAsia="Times New Roman" w:hAnsi="Source Sans Pro" w:cs="Times New Roman"/>
          <w:sz w:val="24"/>
          <w:szCs w:val="24"/>
          <w:lang w:eastAsia="en-GB"/>
        </w:rPr>
        <w:t xml:space="preserve">Ibsen, </w:t>
      </w:r>
      <w:r w:rsidR="00AB1FC0" w:rsidRPr="00AB1FC0">
        <w:rPr>
          <w:rFonts w:ascii="Source Sans Pro" w:eastAsia="Times New Roman" w:hAnsi="Source Sans Pro" w:cs="Times New Roman"/>
          <w:i/>
          <w:iCs/>
          <w:sz w:val="24"/>
          <w:szCs w:val="24"/>
          <w:lang w:eastAsia="en-GB"/>
        </w:rPr>
        <w:t>Ghosts</w:t>
      </w:r>
    </w:p>
    <w:p w14:paraId="55613ECF" w14:textId="0273F983" w:rsidR="003075A2" w:rsidRDefault="00AB1FC0" w:rsidP="00D36C7E">
      <w:pPr>
        <w:spacing w:after="120"/>
        <w:jc w:val="both"/>
        <w:rPr>
          <w:rFonts w:ascii="Source Sans Pro" w:eastAsia="Times New Roman" w:hAnsi="Source Sans Pro" w:cs="Times New Roman"/>
          <w:sz w:val="24"/>
          <w:szCs w:val="24"/>
          <w:lang w:eastAsia="en-GB"/>
        </w:rPr>
      </w:pPr>
      <w:r w:rsidRPr="00AB1FC0">
        <w:rPr>
          <w:rFonts w:ascii="Source Sans Pro" w:eastAsia="Times New Roman" w:hAnsi="Source Sans Pro" w:cs="Times New Roman"/>
          <w:sz w:val="24"/>
          <w:szCs w:val="24"/>
          <w:lang w:eastAsia="en-GB"/>
        </w:rPr>
        <w:t>Week 7</w:t>
      </w:r>
      <w:r>
        <w:rPr>
          <w:rFonts w:ascii="Source Sans Pro" w:eastAsia="Times New Roman" w:hAnsi="Source Sans Pro" w:cs="Times New Roman"/>
          <w:sz w:val="24"/>
          <w:szCs w:val="24"/>
          <w:lang w:eastAsia="en-GB"/>
        </w:rPr>
        <w:tab/>
        <w:t>Study Week</w:t>
      </w:r>
    </w:p>
    <w:p w14:paraId="07A40E57" w14:textId="7790862E" w:rsidR="007C1015" w:rsidRDefault="007C1015" w:rsidP="007C1015">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8</w:t>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94A0B">
        <w:rPr>
          <w:rFonts w:ascii="Source Sans Pro" w:eastAsia="Times New Roman" w:hAnsi="Source Sans Pro" w:cs="Times New Roman"/>
          <w:i/>
          <w:iCs/>
          <w:sz w:val="24"/>
          <w:szCs w:val="24"/>
          <w:lang w:eastAsia="en-GB"/>
        </w:rPr>
        <w:t>Ghosts</w:t>
      </w:r>
      <w:r>
        <w:rPr>
          <w:rFonts w:ascii="Source Sans Pro" w:eastAsia="Times New Roman" w:hAnsi="Source Sans Pro" w:cs="Times New Roman"/>
          <w:sz w:val="24"/>
          <w:szCs w:val="24"/>
          <w:lang w:eastAsia="en-GB"/>
        </w:rPr>
        <w:t>: close reading</w:t>
      </w:r>
    </w:p>
    <w:p w14:paraId="3BC6E48A" w14:textId="665EF583" w:rsidR="007C1015" w:rsidRPr="000A41E9" w:rsidRDefault="007C1015" w:rsidP="007C1015">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FC1E0C">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b/>
          <w:bCs/>
          <w:sz w:val="24"/>
          <w:szCs w:val="24"/>
          <w:lang w:eastAsia="en-GB"/>
        </w:rPr>
        <w:t>S</w:t>
      </w:r>
      <w:r w:rsidRPr="00AB1FC0">
        <w:rPr>
          <w:rFonts w:ascii="Source Sans Pro" w:eastAsia="Times New Roman" w:hAnsi="Source Sans Pro" w:cs="Times New Roman"/>
          <w:sz w:val="24"/>
          <w:szCs w:val="24"/>
          <w:lang w:eastAsia="en-GB"/>
        </w:rPr>
        <w:t xml:space="preserve"> Thu</w:t>
      </w:r>
      <w:r w:rsidRPr="00AB1FC0">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sz w:val="24"/>
          <w:szCs w:val="24"/>
          <w:lang w:eastAsia="en-GB"/>
        </w:rPr>
        <w:tab/>
      </w:r>
      <w:r w:rsidR="00F11102">
        <w:rPr>
          <w:rFonts w:ascii="Source Sans Pro" w:eastAsia="Times New Roman" w:hAnsi="Source Sans Pro" w:cs="Times New Roman"/>
          <w:sz w:val="24"/>
          <w:szCs w:val="24"/>
          <w:lang w:eastAsia="en-GB"/>
        </w:rPr>
        <w:t>The Medical Ethics Board</w:t>
      </w:r>
    </w:p>
    <w:p w14:paraId="054D5828" w14:textId="07F16FE9" w:rsidR="00FC1E0C" w:rsidRDefault="00FC1E0C" w:rsidP="00FC1E0C">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9</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B52AD5">
        <w:rPr>
          <w:rFonts w:ascii="Source Sans Pro" w:eastAsia="Times New Roman" w:hAnsi="Source Sans Pro" w:cs="Times New Roman"/>
          <w:sz w:val="24"/>
          <w:szCs w:val="24"/>
          <w:lang w:eastAsia="en-GB"/>
        </w:rPr>
        <w:t>The 19</w:t>
      </w:r>
      <w:r w:rsidR="00B52AD5" w:rsidRPr="00B52AD5">
        <w:rPr>
          <w:rFonts w:ascii="Source Sans Pro" w:eastAsia="Times New Roman" w:hAnsi="Source Sans Pro" w:cs="Times New Roman"/>
          <w:sz w:val="24"/>
          <w:szCs w:val="24"/>
          <w:vertAlign w:val="superscript"/>
          <w:lang w:eastAsia="en-GB"/>
        </w:rPr>
        <w:t>th</w:t>
      </w:r>
      <w:r w:rsidR="00B52AD5">
        <w:rPr>
          <w:rFonts w:ascii="Source Sans Pro" w:eastAsia="Times New Roman" w:hAnsi="Source Sans Pro" w:cs="Times New Roman"/>
          <w:sz w:val="24"/>
          <w:szCs w:val="24"/>
          <w:lang w:eastAsia="en-GB"/>
        </w:rPr>
        <w:t>-Century Censorship Committee</w:t>
      </w:r>
    </w:p>
    <w:p w14:paraId="033BB939" w14:textId="1A3E8522" w:rsidR="00FC1E0C" w:rsidRPr="000A41E9" w:rsidRDefault="00FC1E0C" w:rsidP="00FC1E0C">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1327DC">
        <w:rPr>
          <w:rFonts w:ascii="Source Sans Pro" w:eastAsia="Times New Roman" w:hAnsi="Source Sans Pro" w:cs="Times New Roman"/>
          <w:b/>
          <w:bCs/>
          <w:sz w:val="24"/>
          <w:szCs w:val="24"/>
          <w:lang w:eastAsia="en-GB"/>
        </w:rPr>
        <w:t>L</w:t>
      </w:r>
      <w:r w:rsidRPr="00AB1FC0">
        <w:rPr>
          <w:rFonts w:ascii="Source Sans Pro" w:eastAsia="Times New Roman" w:hAnsi="Source Sans Pro" w:cs="Times New Roman"/>
          <w:sz w:val="24"/>
          <w:szCs w:val="24"/>
          <w:lang w:eastAsia="en-GB"/>
        </w:rPr>
        <w:t xml:space="preserve"> Thu</w:t>
      </w:r>
      <w:r w:rsidRPr="00AB1FC0">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sz w:val="24"/>
          <w:szCs w:val="24"/>
          <w:lang w:eastAsia="en-GB"/>
        </w:rPr>
        <w:tab/>
      </w:r>
      <w:r w:rsidR="001327DC">
        <w:rPr>
          <w:rFonts w:ascii="Source Sans Pro" w:eastAsia="Times New Roman" w:hAnsi="Source Sans Pro" w:cs="Times New Roman"/>
          <w:sz w:val="24"/>
          <w:szCs w:val="24"/>
          <w:lang w:eastAsia="en-GB"/>
        </w:rPr>
        <w:tab/>
      </w:r>
      <w:r w:rsidR="00451BE8" w:rsidRPr="000A41E9">
        <w:rPr>
          <w:rFonts w:ascii="Source Sans Pro" w:eastAsia="Times New Roman" w:hAnsi="Source Sans Pro" w:cs="Times New Roman"/>
          <w:sz w:val="24"/>
          <w:szCs w:val="24"/>
          <w:lang w:eastAsia="en-GB"/>
        </w:rPr>
        <w:t xml:space="preserve">Lorca, </w:t>
      </w:r>
      <w:r w:rsidR="00451BE8" w:rsidRPr="000A41E9">
        <w:rPr>
          <w:rFonts w:ascii="Source Sans Pro" w:eastAsia="Times New Roman" w:hAnsi="Source Sans Pro" w:cs="Times New Roman"/>
          <w:i/>
          <w:iCs/>
          <w:sz w:val="24"/>
          <w:szCs w:val="24"/>
          <w:lang w:eastAsia="en-GB"/>
        </w:rPr>
        <w:t>Blood Wedding</w:t>
      </w:r>
    </w:p>
    <w:p w14:paraId="59A6057F" w14:textId="2252A496" w:rsidR="00FC1E0C" w:rsidRDefault="00FC1E0C" w:rsidP="00FC1E0C">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10</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DC61BF" w:rsidRPr="00DC61BF">
        <w:rPr>
          <w:rFonts w:ascii="Source Sans Pro" w:eastAsia="Times New Roman" w:hAnsi="Source Sans Pro" w:cs="Times New Roman"/>
          <w:i/>
          <w:iCs/>
          <w:sz w:val="24"/>
          <w:szCs w:val="24"/>
          <w:lang w:eastAsia="en-GB"/>
        </w:rPr>
        <w:t>Blood Wedding</w:t>
      </w:r>
      <w:r w:rsidR="00DC61BF">
        <w:rPr>
          <w:rFonts w:ascii="Source Sans Pro" w:eastAsia="Times New Roman" w:hAnsi="Source Sans Pro" w:cs="Times New Roman"/>
          <w:sz w:val="24"/>
          <w:szCs w:val="24"/>
          <w:lang w:eastAsia="en-GB"/>
        </w:rPr>
        <w:t xml:space="preserve">: </w:t>
      </w:r>
      <w:r w:rsidR="009E0A12">
        <w:rPr>
          <w:rFonts w:ascii="Source Sans Pro" w:eastAsia="Times New Roman" w:hAnsi="Source Sans Pro" w:cs="Times New Roman"/>
          <w:sz w:val="24"/>
          <w:szCs w:val="24"/>
          <w:lang w:eastAsia="en-GB"/>
        </w:rPr>
        <w:t xml:space="preserve">close reading </w:t>
      </w:r>
    </w:p>
    <w:p w14:paraId="512DCBDA" w14:textId="7951F43E" w:rsidR="00FC1E0C" w:rsidRPr="000A41E9" w:rsidRDefault="00FC1E0C" w:rsidP="00FC1E0C">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9E0A12">
        <w:rPr>
          <w:rFonts w:ascii="Source Sans Pro" w:eastAsia="Times New Roman" w:hAnsi="Source Sans Pro" w:cs="Times New Roman"/>
          <w:b/>
          <w:bCs/>
          <w:sz w:val="24"/>
          <w:szCs w:val="24"/>
          <w:lang w:eastAsia="en-GB"/>
        </w:rPr>
        <w:t>L</w:t>
      </w:r>
      <w:r w:rsidRPr="00AB1FC0">
        <w:rPr>
          <w:rFonts w:ascii="Source Sans Pro" w:eastAsia="Times New Roman" w:hAnsi="Source Sans Pro" w:cs="Times New Roman"/>
          <w:sz w:val="24"/>
          <w:szCs w:val="24"/>
          <w:lang w:eastAsia="en-GB"/>
        </w:rPr>
        <w:t xml:space="preserve"> Thu</w:t>
      </w:r>
      <w:r w:rsidRPr="00AB1FC0">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sz w:val="24"/>
          <w:szCs w:val="24"/>
          <w:lang w:eastAsia="en-GB"/>
        </w:rPr>
        <w:tab/>
      </w:r>
      <w:r w:rsidR="009E0A12">
        <w:rPr>
          <w:rFonts w:ascii="Source Sans Pro" w:eastAsia="Times New Roman" w:hAnsi="Source Sans Pro" w:cs="Times New Roman"/>
          <w:sz w:val="24"/>
          <w:szCs w:val="24"/>
          <w:lang w:eastAsia="en-GB"/>
        </w:rPr>
        <w:tab/>
      </w:r>
      <w:r w:rsidR="006E2174">
        <w:rPr>
          <w:rFonts w:ascii="Source Sans Pro" w:eastAsia="Times New Roman" w:hAnsi="Source Sans Pro" w:cs="Times New Roman"/>
          <w:i/>
          <w:iCs/>
          <w:sz w:val="24"/>
          <w:szCs w:val="24"/>
          <w:lang w:eastAsia="en-GB"/>
        </w:rPr>
        <w:t>Blood Wedding</w:t>
      </w:r>
      <w:r w:rsidR="006E2174">
        <w:rPr>
          <w:rFonts w:ascii="Source Sans Pro" w:eastAsia="Times New Roman" w:hAnsi="Source Sans Pro" w:cs="Times New Roman"/>
          <w:sz w:val="24"/>
          <w:szCs w:val="24"/>
          <w:lang w:eastAsia="en-GB"/>
        </w:rPr>
        <w:t xml:space="preserve">: </w:t>
      </w:r>
      <w:r w:rsidR="009E0A12">
        <w:rPr>
          <w:rFonts w:ascii="Source Sans Pro" w:eastAsia="Times New Roman" w:hAnsi="Source Sans Pro" w:cs="Times New Roman"/>
          <w:sz w:val="24"/>
          <w:szCs w:val="24"/>
          <w:lang w:eastAsia="en-GB"/>
        </w:rPr>
        <w:t>tragedy and symbolism</w:t>
      </w:r>
    </w:p>
    <w:p w14:paraId="7C3F4461" w14:textId="192B0F29" w:rsidR="00FC1E0C" w:rsidRDefault="00FC1E0C" w:rsidP="00FC1E0C">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11</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7A45B2">
        <w:rPr>
          <w:rFonts w:ascii="Source Sans Pro" w:eastAsia="Times New Roman" w:hAnsi="Source Sans Pro" w:cs="Times New Roman"/>
          <w:sz w:val="24"/>
          <w:szCs w:val="24"/>
          <w:lang w:eastAsia="en-GB"/>
        </w:rPr>
        <w:t xml:space="preserve">Anthropological </w:t>
      </w:r>
      <w:r w:rsidR="00720373">
        <w:rPr>
          <w:rFonts w:ascii="Source Sans Pro" w:eastAsia="Times New Roman" w:hAnsi="Source Sans Pro" w:cs="Times New Roman"/>
          <w:sz w:val="24"/>
          <w:szCs w:val="24"/>
          <w:lang w:eastAsia="en-GB"/>
        </w:rPr>
        <w:t>Fieldwork</w:t>
      </w:r>
    </w:p>
    <w:p w14:paraId="222F4888" w14:textId="5780C078" w:rsidR="00FC1E0C" w:rsidRPr="000A41E9" w:rsidRDefault="00FC1E0C" w:rsidP="00FC1E0C">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b/>
          <w:bCs/>
          <w:sz w:val="24"/>
          <w:szCs w:val="24"/>
          <w:lang w:eastAsia="en-GB"/>
        </w:rPr>
        <w:t>S</w:t>
      </w:r>
      <w:r w:rsidRPr="00AB1FC0">
        <w:rPr>
          <w:rFonts w:ascii="Source Sans Pro" w:eastAsia="Times New Roman" w:hAnsi="Source Sans Pro" w:cs="Times New Roman"/>
          <w:sz w:val="24"/>
          <w:szCs w:val="24"/>
          <w:lang w:eastAsia="en-GB"/>
        </w:rPr>
        <w:t xml:space="preserve"> Thu</w:t>
      </w:r>
      <w:r w:rsidRPr="00AB1FC0">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sz w:val="24"/>
          <w:szCs w:val="24"/>
          <w:lang w:eastAsia="en-GB"/>
        </w:rPr>
        <w:tab/>
      </w:r>
      <w:r w:rsidR="00455852">
        <w:rPr>
          <w:rFonts w:ascii="Source Sans Pro" w:eastAsia="Times New Roman" w:hAnsi="Source Sans Pro" w:cs="Times New Roman"/>
          <w:i/>
          <w:iCs/>
          <w:sz w:val="24"/>
          <w:szCs w:val="24"/>
          <w:lang w:eastAsia="en-GB"/>
        </w:rPr>
        <w:t>Blood Wedding</w:t>
      </w:r>
      <w:r w:rsidR="00455852">
        <w:rPr>
          <w:rFonts w:ascii="Source Sans Pro" w:eastAsia="Times New Roman" w:hAnsi="Source Sans Pro" w:cs="Times New Roman"/>
          <w:sz w:val="24"/>
          <w:szCs w:val="24"/>
          <w:lang w:eastAsia="en-GB"/>
        </w:rPr>
        <w:t xml:space="preserve">: </w:t>
      </w:r>
      <w:r w:rsidR="009E0A12">
        <w:rPr>
          <w:rFonts w:ascii="Source Sans Pro" w:eastAsia="Times New Roman" w:hAnsi="Source Sans Pro" w:cs="Times New Roman"/>
          <w:sz w:val="24"/>
          <w:szCs w:val="24"/>
          <w:lang w:eastAsia="en-GB"/>
        </w:rPr>
        <w:t>literature review workshop</w:t>
      </w:r>
    </w:p>
    <w:p w14:paraId="6D6ACF72" w14:textId="3EDA9EA7" w:rsidR="00FC1E0C" w:rsidRDefault="00FC1E0C" w:rsidP="00FC1E0C">
      <w:pPr>
        <w:spacing w:after="120"/>
        <w:jc w:val="both"/>
        <w:rPr>
          <w:rFonts w:ascii="Source Sans Pro" w:eastAsia="Times New Roman" w:hAnsi="Source Sans Pro" w:cs="Times New Roman"/>
          <w:sz w:val="24"/>
          <w:szCs w:val="24"/>
          <w:lang w:eastAsia="en-GB"/>
        </w:rPr>
      </w:pPr>
      <w:r w:rsidRPr="000A41E9">
        <w:rPr>
          <w:rFonts w:ascii="Source Sans Pro" w:eastAsia="Times New Roman" w:hAnsi="Source Sans Pro" w:cs="Times New Roman"/>
          <w:sz w:val="24"/>
          <w:szCs w:val="24"/>
          <w:lang w:eastAsia="en-GB"/>
        </w:rPr>
        <w:t xml:space="preserve">Week </w:t>
      </w:r>
      <w:r>
        <w:rPr>
          <w:rFonts w:ascii="Source Sans Pro" w:eastAsia="Times New Roman" w:hAnsi="Source Sans Pro" w:cs="Times New Roman"/>
          <w:sz w:val="24"/>
          <w:szCs w:val="24"/>
          <w:lang w:eastAsia="en-GB"/>
        </w:rPr>
        <w:t>12</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Pr="001A64AC">
        <w:rPr>
          <w:rFonts w:ascii="Source Sans Pro" w:eastAsia="Times New Roman" w:hAnsi="Source Sans Pro" w:cs="Times New Roman"/>
          <w:b/>
          <w:bCs/>
          <w:sz w:val="24"/>
          <w:szCs w:val="24"/>
          <w:lang w:eastAsia="en-GB"/>
        </w:rPr>
        <w:t>S</w:t>
      </w:r>
      <w:r>
        <w:rPr>
          <w:rFonts w:ascii="Source Sans Pro" w:eastAsia="Times New Roman" w:hAnsi="Source Sans Pro" w:cs="Times New Roman"/>
          <w:sz w:val="24"/>
          <w:szCs w:val="24"/>
          <w:lang w:eastAsia="en-GB"/>
        </w:rPr>
        <w:t xml:space="preserve"> Mon</w:t>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775290">
        <w:rPr>
          <w:rFonts w:ascii="Source Sans Pro" w:eastAsia="Times New Roman" w:hAnsi="Source Sans Pro" w:cs="Times New Roman"/>
          <w:sz w:val="24"/>
          <w:szCs w:val="24"/>
          <w:lang w:eastAsia="en-GB"/>
        </w:rPr>
        <w:t>Comparative essay workshop</w:t>
      </w:r>
    </w:p>
    <w:p w14:paraId="35A5477E" w14:textId="23A46D1D" w:rsidR="00FC1E0C" w:rsidRPr="000A41E9" w:rsidRDefault="00FC1E0C" w:rsidP="00FC1E0C">
      <w:pPr>
        <w:spacing w:after="120"/>
        <w:jc w:val="both"/>
        <w:rPr>
          <w:rFonts w:ascii="Source Sans Pro" w:eastAsia="Times New Roman" w:hAnsi="Source Sans Pro" w:cs="Times New Roman"/>
          <w:sz w:val="24"/>
          <w:szCs w:val="24"/>
          <w:lang w:eastAsia="en-GB"/>
        </w:rPr>
      </w:pP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Pr>
          <w:rFonts w:ascii="Source Sans Pro" w:eastAsia="Times New Roman" w:hAnsi="Source Sans Pro" w:cs="Times New Roman"/>
          <w:sz w:val="24"/>
          <w:szCs w:val="24"/>
          <w:lang w:eastAsia="en-GB"/>
        </w:rPr>
        <w:tab/>
      </w:r>
      <w:r w:rsidR="00775290">
        <w:rPr>
          <w:rFonts w:ascii="Source Sans Pro" w:eastAsia="Times New Roman" w:hAnsi="Source Sans Pro" w:cs="Times New Roman"/>
          <w:b/>
          <w:bCs/>
          <w:sz w:val="24"/>
          <w:szCs w:val="24"/>
          <w:lang w:eastAsia="en-GB"/>
        </w:rPr>
        <w:t>L</w:t>
      </w:r>
      <w:r w:rsidRPr="00AB1FC0">
        <w:rPr>
          <w:rFonts w:ascii="Source Sans Pro" w:eastAsia="Times New Roman" w:hAnsi="Source Sans Pro" w:cs="Times New Roman"/>
          <w:sz w:val="24"/>
          <w:szCs w:val="24"/>
          <w:lang w:eastAsia="en-GB"/>
        </w:rPr>
        <w:t xml:space="preserve"> Thu</w:t>
      </w:r>
      <w:r w:rsidRPr="00AB1FC0">
        <w:rPr>
          <w:rFonts w:ascii="Source Sans Pro" w:eastAsia="Times New Roman" w:hAnsi="Source Sans Pro" w:cs="Times New Roman"/>
          <w:sz w:val="24"/>
          <w:szCs w:val="24"/>
          <w:lang w:eastAsia="en-GB"/>
        </w:rPr>
        <w:tab/>
      </w:r>
      <w:r w:rsidRPr="00AB1FC0">
        <w:rPr>
          <w:rFonts w:ascii="Source Sans Pro" w:eastAsia="Times New Roman" w:hAnsi="Source Sans Pro" w:cs="Times New Roman"/>
          <w:sz w:val="24"/>
          <w:szCs w:val="24"/>
          <w:lang w:eastAsia="en-GB"/>
        </w:rPr>
        <w:tab/>
      </w:r>
      <w:r w:rsidR="00775290">
        <w:rPr>
          <w:rFonts w:ascii="Source Sans Pro" w:eastAsia="Times New Roman" w:hAnsi="Source Sans Pro" w:cs="Times New Roman"/>
          <w:sz w:val="24"/>
          <w:szCs w:val="24"/>
          <w:lang w:eastAsia="en-GB"/>
        </w:rPr>
        <w:tab/>
      </w:r>
      <w:r w:rsidR="00FC160A">
        <w:rPr>
          <w:rFonts w:ascii="Source Sans Pro" w:eastAsia="Times New Roman" w:hAnsi="Source Sans Pro" w:cs="Times New Roman"/>
          <w:sz w:val="24"/>
          <w:szCs w:val="24"/>
          <w:lang w:eastAsia="en-GB"/>
        </w:rPr>
        <w:t>Guidance on a</w:t>
      </w:r>
      <w:r w:rsidR="00F23DCC">
        <w:rPr>
          <w:rFonts w:ascii="Source Sans Pro" w:eastAsia="Times New Roman" w:hAnsi="Source Sans Pro" w:cs="Times New Roman"/>
          <w:sz w:val="24"/>
          <w:szCs w:val="24"/>
          <w:lang w:eastAsia="en-GB"/>
        </w:rPr>
        <w:t>cademic writing</w:t>
      </w:r>
    </w:p>
    <w:p w14:paraId="6DA71B86" w14:textId="77777777" w:rsidR="000A41E9" w:rsidRPr="00D178F9" w:rsidRDefault="000A41E9" w:rsidP="00F23DCC">
      <w:pPr>
        <w:spacing w:after="120"/>
        <w:jc w:val="both"/>
        <w:rPr>
          <w:rFonts w:ascii="Source Sans Pro" w:eastAsia="Times New Roman" w:hAnsi="Source Sans Pro" w:cs="Times New Roman"/>
          <w:sz w:val="24"/>
          <w:szCs w:val="24"/>
          <w:lang w:eastAsia="en-GB"/>
        </w:rPr>
      </w:pPr>
    </w:p>
    <w:sectPr w:rsidR="000A41E9" w:rsidRPr="00D178F9" w:rsidSect="003F7177">
      <w:footerReference w:type="default" r:id="rId7"/>
      <w:footerReference w:type="first" r:id="rId8"/>
      <w:pgSz w:w="12240" w:h="15840"/>
      <w:pgMar w:top="1440"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8060D" w14:textId="77777777" w:rsidR="00301C1C" w:rsidRDefault="00301C1C">
      <w:pPr>
        <w:spacing w:after="0"/>
      </w:pPr>
      <w:r>
        <w:separator/>
      </w:r>
    </w:p>
  </w:endnote>
  <w:endnote w:type="continuationSeparator" w:id="0">
    <w:p w14:paraId="09605C33" w14:textId="77777777" w:rsidR="00301C1C" w:rsidRDefault="00301C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530639101"/>
      <w:docPartObj>
        <w:docPartGallery w:val="Page Numbers (Bottom of Page)"/>
        <w:docPartUnique/>
      </w:docPartObj>
    </w:sdtPr>
    <w:sdtEndPr>
      <w:rPr>
        <w:noProof/>
      </w:rPr>
    </w:sdtEndPr>
    <w:sdtContent>
      <w:p w14:paraId="55174A02" w14:textId="77777777" w:rsidR="00C73302" w:rsidRDefault="00C73302">
        <w:pPr>
          <w:pStyle w:val="Footer"/>
          <w:jc w:val="right"/>
        </w:pPr>
        <w:r>
          <w:rPr>
            <w:noProof w:val="0"/>
          </w:rPr>
          <w:fldChar w:fldCharType="begin"/>
        </w:r>
        <w:r>
          <w:instrText xml:space="preserve"> PAGE   \* MERGEFORMAT </w:instrText>
        </w:r>
        <w:r>
          <w:rPr>
            <w:noProof w:val="0"/>
          </w:rPr>
          <w:fldChar w:fldCharType="separate"/>
        </w:r>
        <w:r>
          <w:t>9</w:t>
        </w:r>
        <w:r>
          <w:fldChar w:fldCharType="end"/>
        </w:r>
      </w:p>
    </w:sdtContent>
  </w:sdt>
  <w:p w14:paraId="797F1B25" w14:textId="77777777" w:rsidR="00C73302" w:rsidRDefault="00C7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10555684"/>
      <w:docPartObj>
        <w:docPartGallery w:val="Page Numbers (Bottom of Page)"/>
        <w:docPartUnique/>
      </w:docPartObj>
    </w:sdtPr>
    <w:sdtEndPr>
      <w:rPr>
        <w:noProof/>
      </w:rPr>
    </w:sdtEndPr>
    <w:sdtContent>
      <w:p w14:paraId="114AE8C2" w14:textId="77777777" w:rsidR="00C73302" w:rsidRDefault="00C73302">
        <w:pPr>
          <w:pStyle w:val="Footer"/>
          <w:jc w:val="right"/>
        </w:pPr>
        <w:r>
          <w:rPr>
            <w:noProof w:val="0"/>
          </w:rPr>
          <w:fldChar w:fldCharType="begin"/>
        </w:r>
        <w:r>
          <w:instrText xml:space="preserve"> PAGE   \* MERGEFORMAT </w:instrText>
        </w:r>
        <w:r>
          <w:rPr>
            <w:noProof w:val="0"/>
          </w:rPr>
          <w:fldChar w:fldCharType="separate"/>
        </w:r>
        <w:r>
          <w:t>1</w:t>
        </w:r>
        <w:r>
          <w:fldChar w:fldCharType="end"/>
        </w:r>
      </w:p>
    </w:sdtContent>
  </w:sdt>
  <w:p w14:paraId="01D02077" w14:textId="77777777" w:rsidR="00C73302" w:rsidRDefault="00C7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566C" w14:textId="77777777" w:rsidR="00301C1C" w:rsidRDefault="00301C1C">
      <w:pPr>
        <w:spacing w:after="0"/>
      </w:pPr>
      <w:r>
        <w:separator/>
      </w:r>
    </w:p>
  </w:footnote>
  <w:footnote w:type="continuationSeparator" w:id="0">
    <w:p w14:paraId="3438949D" w14:textId="77777777" w:rsidR="00301C1C" w:rsidRDefault="00301C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07FF"/>
    <w:multiLevelType w:val="hybridMultilevel"/>
    <w:tmpl w:val="DC48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2562E"/>
    <w:multiLevelType w:val="hybridMultilevel"/>
    <w:tmpl w:val="C61A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0A4A"/>
    <w:multiLevelType w:val="hybridMultilevel"/>
    <w:tmpl w:val="BE74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072033">
    <w:abstractNumId w:val="0"/>
  </w:num>
  <w:num w:numId="2" w16cid:durableId="622806221">
    <w:abstractNumId w:val="2"/>
  </w:num>
  <w:num w:numId="3" w16cid:durableId="134035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3"/>
    <w:rsid w:val="00046FD9"/>
    <w:rsid w:val="0005615B"/>
    <w:rsid w:val="000713EA"/>
    <w:rsid w:val="00083AE1"/>
    <w:rsid w:val="00093CFA"/>
    <w:rsid w:val="00094A55"/>
    <w:rsid w:val="000A41E9"/>
    <w:rsid w:val="000A6D7B"/>
    <w:rsid w:val="001134EE"/>
    <w:rsid w:val="0012709C"/>
    <w:rsid w:val="001327DC"/>
    <w:rsid w:val="001341D1"/>
    <w:rsid w:val="001A35EB"/>
    <w:rsid w:val="001A64AC"/>
    <w:rsid w:val="00201D87"/>
    <w:rsid w:val="00214D0F"/>
    <w:rsid w:val="00265568"/>
    <w:rsid w:val="00282B31"/>
    <w:rsid w:val="002D6344"/>
    <w:rsid w:val="00301C1C"/>
    <w:rsid w:val="003075A2"/>
    <w:rsid w:val="00307BB0"/>
    <w:rsid w:val="003108F2"/>
    <w:rsid w:val="0032005A"/>
    <w:rsid w:val="00322008"/>
    <w:rsid w:val="003643A7"/>
    <w:rsid w:val="00411FF6"/>
    <w:rsid w:val="00442C5E"/>
    <w:rsid w:val="00451BE8"/>
    <w:rsid w:val="00455852"/>
    <w:rsid w:val="00471EDD"/>
    <w:rsid w:val="004D4B85"/>
    <w:rsid w:val="004D54F0"/>
    <w:rsid w:val="00507BE1"/>
    <w:rsid w:val="00587DBD"/>
    <w:rsid w:val="00621930"/>
    <w:rsid w:val="00670B94"/>
    <w:rsid w:val="00671C24"/>
    <w:rsid w:val="006E2174"/>
    <w:rsid w:val="00720373"/>
    <w:rsid w:val="00756DA3"/>
    <w:rsid w:val="00775290"/>
    <w:rsid w:val="007A45B2"/>
    <w:rsid w:val="007C1015"/>
    <w:rsid w:val="007C11B2"/>
    <w:rsid w:val="007D01D4"/>
    <w:rsid w:val="007E0E3F"/>
    <w:rsid w:val="007E1E80"/>
    <w:rsid w:val="00804733"/>
    <w:rsid w:val="00823B0F"/>
    <w:rsid w:val="00851D5E"/>
    <w:rsid w:val="00863048"/>
    <w:rsid w:val="00891E27"/>
    <w:rsid w:val="008C24E6"/>
    <w:rsid w:val="00920010"/>
    <w:rsid w:val="009639C6"/>
    <w:rsid w:val="0097284D"/>
    <w:rsid w:val="009743A7"/>
    <w:rsid w:val="009C4AAE"/>
    <w:rsid w:val="009D7A4E"/>
    <w:rsid w:val="009E0A12"/>
    <w:rsid w:val="009F77AA"/>
    <w:rsid w:val="00A135F4"/>
    <w:rsid w:val="00A13BA9"/>
    <w:rsid w:val="00A16E68"/>
    <w:rsid w:val="00A2501B"/>
    <w:rsid w:val="00A4631D"/>
    <w:rsid w:val="00A67380"/>
    <w:rsid w:val="00A76024"/>
    <w:rsid w:val="00A76E9E"/>
    <w:rsid w:val="00AB1FC0"/>
    <w:rsid w:val="00B52AD5"/>
    <w:rsid w:val="00B61007"/>
    <w:rsid w:val="00B66812"/>
    <w:rsid w:val="00BB11E8"/>
    <w:rsid w:val="00BC2EBB"/>
    <w:rsid w:val="00C0011F"/>
    <w:rsid w:val="00C224BE"/>
    <w:rsid w:val="00C73302"/>
    <w:rsid w:val="00C95094"/>
    <w:rsid w:val="00CE29D1"/>
    <w:rsid w:val="00D141A6"/>
    <w:rsid w:val="00D178F9"/>
    <w:rsid w:val="00D36C7E"/>
    <w:rsid w:val="00D5275F"/>
    <w:rsid w:val="00D57109"/>
    <w:rsid w:val="00DB0C71"/>
    <w:rsid w:val="00DC2791"/>
    <w:rsid w:val="00DC61BF"/>
    <w:rsid w:val="00E20B33"/>
    <w:rsid w:val="00E233D1"/>
    <w:rsid w:val="00EA39A0"/>
    <w:rsid w:val="00EB242F"/>
    <w:rsid w:val="00ED2B8D"/>
    <w:rsid w:val="00ED66A3"/>
    <w:rsid w:val="00F11102"/>
    <w:rsid w:val="00F23DCC"/>
    <w:rsid w:val="00F26BB4"/>
    <w:rsid w:val="00F32D6C"/>
    <w:rsid w:val="00F35C06"/>
    <w:rsid w:val="00F42D1B"/>
    <w:rsid w:val="00F47885"/>
    <w:rsid w:val="00F52605"/>
    <w:rsid w:val="00F62D75"/>
    <w:rsid w:val="00F666AD"/>
    <w:rsid w:val="00F94A0B"/>
    <w:rsid w:val="00F961DF"/>
    <w:rsid w:val="00FA1EE1"/>
    <w:rsid w:val="00FB4CDB"/>
    <w:rsid w:val="00FB541D"/>
    <w:rsid w:val="00FC160A"/>
    <w:rsid w:val="00FC1E0C"/>
    <w:rsid w:val="00FD5C04"/>
    <w:rsid w:val="00FF0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F034"/>
  <w15:chartTrackingRefBased/>
  <w15:docId w15:val="{ED2792E4-8470-4348-B25B-D1399AAB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6A3"/>
    <w:pPr>
      <w:spacing w:after="160"/>
    </w:pPr>
    <w:rPr>
      <w:sz w:val="22"/>
      <w:szCs w:val="22"/>
    </w:rPr>
  </w:style>
  <w:style w:type="paragraph" w:styleId="Heading1">
    <w:name w:val="heading 1"/>
    <w:basedOn w:val="Normal"/>
    <w:next w:val="Normal"/>
    <w:link w:val="Heading1Char"/>
    <w:qFormat/>
    <w:rsid w:val="00ED66A3"/>
    <w:pPr>
      <w:keepNext/>
      <w:spacing w:after="0"/>
      <w:jc w:val="both"/>
      <w:outlineLvl w:val="0"/>
    </w:pPr>
    <w:rPr>
      <w:rFonts w:ascii="Times" w:eastAsia="Times" w:hAns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6A3"/>
    <w:rPr>
      <w:rFonts w:ascii="Times" w:eastAsia="Times" w:hAnsi="Times" w:cs="Times New Roman"/>
      <w:b/>
      <w:sz w:val="20"/>
      <w:szCs w:val="20"/>
    </w:rPr>
  </w:style>
  <w:style w:type="paragraph" w:styleId="Footer">
    <w:name w:val="footer"/>
    <w:basedOn w:val="Normal"/>
    <w:link w:val="FooterChar"/>
    <w:uiPriority w:val="99"/>
    <w:rsid w:val="00ED66A3"/>
    <w:pPr>
      <w:tabs>
        <w:tab w:val="center" w:pos="4320"/>
        <w:tab w:val="right" w:pos="8640"/>
      </w:tabs>
      <w:spacing w:after="0"/>
    </w:pPr>
    <w:rPr>
      <w:rFonts w:ascii="Garamond" w:eastAsia="Times" w:hAnsi="Garamond" w:cs="Times New Roman"/>
      <w:noProof/>
      <w:sz w:val="24"/>
      <w:szCs w:val="20"/>
    </w:rPr>
  </w:style>
  <w:style w:type="character" w:customStyle="1" w:styleId="FooterChar">
    <w:name w:val="Footer Char"/>
    <w:basedOn w:val="DefaultParagraphFont"/>
    <w:link w:val="Footer"/>
    <w:uiPriority w:val="99"/>
    <w:rsid w:val="00ED66A3"/>
    <w:rPr>
      <w:rFonts w:ascii="Garamond" w:eastAsia="Times" w:hAnsi="Garamond" w:cs="Times New Roman"/>
      <w:noProof/>
      <w:szCs w:val="20"/>
    </w:rPr>
  </w:style>
  <w:style w:type="character" w:styleId="Hyperlink">
    <w:name w:val="Hyperlink"/>
    <w:rsid w:val="00ED66A3"/>
    <w:rPr>
      <w:color w:val="0000FF"/>
      <w:u w:val="single"/>
    </w:rPr>
  </w:style>
  <w:style w:type="paragraph" w:styleId="ListParagraph">
    <w:name w:val="List Paragraph"/>
    <w:basedOn w:val="Normal"/>
    <w:uiPriority w:val="34"/>
    <w:qFormat/>
    <w:rsid w:val="00ED66A3"/>
    <w:pPr>
      <w:ind w:left="720"/>
      <w:contextualSpacing/>
    </w:pPr>
  </w:style>
  <w:style w:type="character" w:styleId="UnresolvedMention">
    <w:name w:val="Unresolved Mention"/>
    <w:basedOn w:val="DefaultParagraphFont"/>
    <w:uiPriority w:val="99"/>
    <w:semiHidden/>
    <w:unhideWhenUsed/>
    <w:rsid w:val="00094A55"/>
    <w:rPr>
      <w:color w:val="605E5C"/>
      <w:shd w:val="clear" w:color="auto" w:fill="E1DFDD"/>
    </w:rPr>
  </w:style>
  <w:style w:type="character" w:styleId="FollowedHyperlink">
    <w:name w:val="FollowedHyperlink"/>
    <w:basedOn w:val="DefaultParagraphFont"/>
    <w:uiPriority w:val="99"/>
    <w:semiHidden/>
    <w:unhideWhenUsed/>
    <w:rsid w:val="00094A55"/>
    <w:rPr>
      <w:color w:val="954F72" w:themeColor="followedHyperlink"/>
      <w:u w:val="single"/>
    </w:rPr>
  </w:style>
  <w:style w:type="paragraph" w:styleId="Header">
    <w:name w:val="header"/>
    <w:basedOn w:val="Normal"/>
    <w:link w:val="HeaderChar"/>
    <w:uiPriority w:val="99"/>
    <w:unhideWhenUsed/>
    <w:rsid w:val="004D54F0"/>
    <w:pPr>
      <w:tabs>
        <w:tab w:val="center" w:pos="4513"/>
        <w:tab w:val="right" w:pos="9026"/>
      </w:tabs>
      <w:spacing w:after="0"/>
    </w:pPr>
  </w:style>
  <w:style w:type="character" w:customStyle="1" w:styleId="HeaderChar">
    <w:name w:val="Header Char"/>
    <w:basedOn w:val="DefaultParagraphFont"/>
    <w:link w:val="Header"/>
    <w:uiPriority w:val="99"/>
    <w:rsid w:val="004D54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327">
      <w:bodyDiv w:val="1"/>
      <w:marLeft w:val="0"/>
      <w:marRight w:val="0"/>
      <w:marTop w:val="0"/>
      <w:marBottom w:val="0"/>
      <w:divBdr>
        <w:top w:val="none" w:sz="0" w:space="0" w:color="auto"/>
        <w:left w:val="none" w:sz="0" w:space="0" w:color="auto"/>
        <w:bottom w:val="none" w:sz="0" w:space="0" w:color="auto"/>
        <w:right w:val="none" w:sz="0" w:space="0" w:color="auto"/>
      </w:divBdr>
      <w:divsChild>
        <w:div w:id="119730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Adrian Armstrong</cp:lastModifiedBy>
  <cp:revision>59</cp:revision>
  <dcterms:created xsi:type="dcterms:W3CDTF">2024-12-22T17:14:00Z</dcterms:created>
  <dcterms:modified xsi:type="dcterms:W3CDTF">2024-12-22T20:10:00Z</dcterms:modified>
</cp:coreProperties>
</file>