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B7B" w:rsidRPr="00CE6E6E" w:rsidRDefault="00692B7B" w:rsidP="00692B7B">
      <w:pPr>
        <w:pStyle w:val="NormalWeb"/>
        <w:rPr>
          <w:rFonts w:ascii="Arial Black" w:hAnsi="Arial Black"/>
          <w:sz w:val="20"/>
          <w:szCs w:val="20"/>
        </w:rPr>
      </w:pPr>
      <w:r w:rsidRPr="00CE6E6E">
        <w:rPr>
          <w:rFonts w:ascii="Arial Black" w:hAnsi="Arial Black"/>
          <w:sz w:val="20"/>
          <w:szCs w:val="20"/>
        </w:rPr>
        <w:t xml:space="preserve">INTERNATIONAL CAPITAL MARKETS ASSOCIATION (ICMA) </w:t>
      </w:r>
      <w:r w:rsidR="00F237E6" w:rsidRPr="00CE6E6E">
        <w:rPr>
          <w:rFonts w:ascii="Arial Black" w:hAnsi="Arial Black"/>
          <w:sz w:val="20"/>
          <w:szCs w:val="20"/>
        </w:rPr>
        <w:tab/>
        <w:t xml:space="preserve"> </w:t>
      </w:r>
    </w:p>
    <w:p w:rsidR="008735F9" w:rsidRDefault="002075D8" w:rsidP="006B7788">
      <w:pPr>
        <w:pStyle w:val="NormalWeb"/>
        <w:jc w:val="both"/>
        <w:rPr>
          <w:sz w:val="20"/>
          <w:szCs w:val="20"/>
        </w:rPr>
      </w:pPr>
      <w:r w:rsidRPr="006B7788">
        <w:rPr>
          <w:sz w:val="20"/>
          <w:szCs w:val="20"/>
        </w:rPr>
        <w:t xml:space="preserve">It is generally accepted that the Eurobond market began with the </w:t>
      </w:r>
      <w:proofErr w:type="spellStart"/>
      <w:r w:rsidRPr="006B7788">
        <w:rPr>
          <w:sz w:val="20"/>
          <w:szCs w:val="20"/>
        </w:rPr>
        <w:t>Autostrade</w:t>
      </w:r>
      <w:proofErr w:type="spellEnd"/>
      <w:r w:rsidRPr="006B7788">
        <w:rPr>
          <w:sz w:val="20"/>
          <w:szCs w:val="20"/>
        </w:rPr>
        <w:t xml:space="preserve"> issue for the Italian m</w:t>
      </w:r>
      <w:r w:rsidR="00E5265C" w:rsidRPr="006B7788">
        <w:rPr>
          <w:sz w:val="20"/>
          <w:szCs w:val="20"/>
        </w:rPr>
        <w:t xml:space="preserve">otorway network in July 1963. This </w:t>
      </w:r>
      <w:r w:rsidRPr="006B7788">
        <w:rPr>
          <w:sz w:val="20"/>
          <w:szCs w:val="20"/>
        </w:rPr>
        <w:t xml:space="preserve">was for US$15m with a </w:t>
      </w:r>
      <w:proofErr w:type="gramStart"/>
      <w:r w:rsidRPr="006B7788">
        <w:rPr>
          <w:sz w:val="20"/>
          <w:szCs w:val="20"/>
        </w:rPr>
        <w:t>15 year</w:t>
      </w:r>
      <w:proofErr w:type="gramEnd"/>
      <w:r w:rsidRPr="006B7788">
        <w:rPr>
          <w:sz w:val="20"/>
          <w:szCs w:val="20"/>
        </w:rPr>
        <w:t xml:space="preserve"> final maturity and an annual coupon of 5½%. S G Warburg was the lead manager of the issue w</w:t>
      </w:r>
      <w:r w:rsidR="00E5265C" w:rsidRPr="006B7788">
        <w:rPr>
          <w:sz w:val="20"/>
          <w:szCs w:val="20"/>
        </w:rPr>
        <w:t xml:space="preserve">ith co-managers </w:t>
      </w:r>
      <w:proofErr w:type="spellStart"/>
      <w:r w:rsidRPr="006B7788">
        <w:rPr>
          <w:sz w:val="20"/>
          <w:szCs w:val="20"/>
        </w:rPr>
        <w:t>Banque</w:t>
      </w:r>
      <w:proofErr w:type="spellEnd"/>
      <w:r w:rsidRPr="006B7788">
        <w:rPr>
          <w:sz w:val="20"/>
          <w:szCs w:val="20"/>
        </w:rPr>
        <w:t xml:space="preserve"> de </w:t>
      </w:r>
      <w:proofErr w:type="spellStart"/>
      <w:r w:rsidRPr="006B7788">
        <w:rPr>
          <w:sz w:val="20"/>
          <w:szCs w:val="20"/>
        </w:rPr>
        <w:t>Bruxelles</w:t>
      </w:r>
      <w:proofErr w:type="spellEnd"/>
      <w:r w:rsidRPr="006B7788">
        <w:rPr>
          <w:sz w:val="20"/>
          <w:szCs w:val="20"/>
        </w:rPr>
        <w:t xml:space="preserve">, Deutsche Bank, and </w:t>
      </w:r>
      <w:proofErr w:type="spellStart"/>
      <w:r w:rsidRPr="006B7788">
        <w:rPr>
          <w:sz w:val="20"/>
          <w:szCs w:val="20"/>
        </w:rPr>
        <w:t>Rotterdamsche</w:t>
      </w:r>
      <w:proofErr w:type="spellEnd"/>
      <w:r w:rsidRPr="006B7788">
        <w:rPr>
          <w:sz w:val="20"/>
          <w:szCs w:val="20"/>
        </w:rPr>
        <w:t xml:space="preserve"> Bank.</w:t>
      </w:r>
      <w:r w:rsidR="00F255E4" w:rsidRPr="006B7788">
        <w:rPr>
          <w:sz w:val="20"/>
          <w:szCs w:val="20"/>
        </w:rPr>
        <w:t xml:space="preserve"> </w:t>
      </w:r>
      <w:r w:rsidRPr="006B7788">
        <w:rPr>
          <w:sz w:val="20"/>
          <w:szCs w:val="20"/>
        </w:rPr>
        <w:t xml:space="preserve">The cross-border debt </w:t>
      </w:r>
      <w:r w:rsidR="008D04DE" w:rsidRPr="006B7788">
        <w:rPr>
          <w:sz w:val="20"/>
          <w:szCs w:val="20"/>
        </w:rPr>
        <w:t xml:space="preserve">and bond </w:t>
      </w:r>
      <w:r w:rsidRPr="006B7788">
        <w:rPr>
          <w:sz w:val="20"/>
          <w:szCs w:val="20"/>
        </w:rPr>
        <w:t>capital market</w:t>
      </w:r>
      <w:r w:rsidR="008D04DE" w:rsidRPr="006B7788">
        <w:rPr>
          <w:sz w:val="20"/>
          <w:szCs w:val="20"/>
        </w:rPr>
        <w:t>s continue</w:t>
      </w:r>
      <w:r w:rsidRPr="006B7788">
        <w:rPr>
          <w:sz w:val="20"/>
          <w:szCs w:val="20"/>
        </w:rPr>
        <w:t xml:space="preserve"> to bring together borrowers and investors from all over the world </w:t>
      </w:r>
      <w:r w:rsidR="00A75A72" w:rsidRPr="006B7788">
        <w:rPr>
          <w:sz w:val="20"/>
          <w:szCs w:val="20"/>
        </w:rPr>
        <w:t xml:space="preserve">to cover </w:t>
      </w:r>
      <w:r w:rsidRPr="006B7788">
        <w:rPr>
          <w:sz w:val="20"/>
          <w:szCs w:val="20"/>
        </w:rPr>
        <w:t>the funding needs of countries, supranational organisations</w:t>
      </w:r>
      <w:r w:rsidR="009F0C01" w:rsidRPr="006B7788">
        <w:rPr>
          <w:sz w:val="20"/>
          <w:szCs w:val="20"/>
        </w:rPr>
        <w:t>, financial institutions and cor</w:t>
      </w:r>
      <w:r w:rsidRPr="006B7788">
        <w:rPr>
          <w:sz w:val="20"/>
          <w:szCs w:val="20"/>
        </w:rPr>
        <w:t>p</w:t>
      </w:r>
      <w:r w:rsidR="009F0C01" w:rsidRPr="006B7788">
        <w:rPr>
          <w:sz w:val="20"/>
          <w:szCs w:val="20"/>
        </w:rPr>
        <w:t>orate bodies</w:t>
      </w:r>
      <w:r w:rsidRPr="006B7788">
        <w:rPr>
          <w:sz w:val="20"/>
          <w:szCs w:val="20"/>
        </w:rPr>
        <w:t>.</w:t>
      </w:r>
    </w:p>
    <w:p w:rsidR="00DF71EE" w:rsidRPr="006B7788" w:rsidRDefault="00F255E4" w:rsidP="006B7788">
      <w:pPr>
        <w:pStyle w:val="NormalWeb"/>
        <w:jc w:val="both"/>
        <w:rPr>
          <w:sz w:val="20"/>
          <w:szCs w:val="20"/>
        </w:rPr>
      </w:pPr>
      <w:r w:rsidRPr="006B7788">
        <w:rPr>
          <w:sz w:val="20"/>
          <w:szCs w:val="20"/>
        </w:rPr>
        <w:t xml:space="preserve">The principal trade association in the capital markets area </w:t>
      </w:r>
      <w:r w:rsidR="00254B6E" w:rsidRPr="006B7788">
        <w:rPr>
          <w:sz w:val="20"/>
          <w:szCs w:val="20"/>
        </w:rPr>
        <w:t>i</w:t>
      </w:r>
      <w:r w:rsidRPr="006B7788">
        <w:rPr>
          <w:sz w:val="20"/>
          <w:szCs w:val="20"/>
        </w:rPr>
        <w:t xml:space="preserve">s the International Capital Markets Association (ICMA). This was originally established as the </w:t>
      </w:r>
      <w:r w:rsidR="002075D8" w:rsidRPr="006B7788">
        <w:rPr>
          <w:sz w:val="20"/>
          <w:szCs w:val="20"/>
        </w:rPr>
        <w:t>Association of International Bond Dealers</w:t>
      </w:r>
      <w:r w:rsidRPr="006B7788">
        <w:rPr>
          <w:sz w:val="20"/>
          <w:szCs w:val="20"/>
        </w:rPr>
        <w:t xml:space="preserve"> (AIBD) in 1968 which became </w:t>
      </w:r>
      <w:r w:rsidR="000A3E6F" w:rsidRPr="006B7788">
        <w:rPr>
          <w:sz w:val="20"/>
          <w:szCs w:val="20"/>
        </w:rPr>
        <w:t>the I</w:t>
      </w:r>
      <w:r w:rsidR="002075D8" w:rsidRPr="006B7788">
        <w:rPr>
          <w:sz w:val="20"/>
          <w:szCs w:val="20"/>
        </w:rPr>
        <w:t>nternational Securities Market Association</w:t>
      </w:r>
      <w:r w:rsidRPr="006B7788">
        <w:rPr>
          <w:sz w:val="20"/>
          <w:szCs w:val="20"/>
        </w:rPr>
        <w:t xml:space="preserve"> (ISMA)</w:t>
      </w:r>
      <w:r w:rsidR="006B6B7A" w:rsidRPr="006B7788">
        <w:rPr>
          <w:sz w:val="20"/>
          <w:szCs w:val="20"/>
        </w:rPr>
        <w:t xml:space="preserve"> in 1992</w:t>
      </w:r>
      <w:r w:rsidRPr="006B7788">
        <w:rPr>
          <w:sz w:val="20"/>
          <w:szCs w:val="20"/>
        </w:rPr>
        <w:t xml:space="preserve">. The International Primary Markets Association (IPMA) had been set up in </w:t>
      </w:r>
      <w:r w:rsidR="006B6B7A" w:rsidRPr="006B7788">
        <w:rPr>
          <w:sz w:val="20"/>
          <w:szCs w:val="20"/>
        </w:rPr>
        <w:t>198</w:t>
      </w:r>
      <w:r w:rsidR="00131023" w:rsidRPr="006B7788">
        <w:rPr>
          <w:sz w:val="20"/>
          <w:szCs w:val="20"/>
        </w:rPr>
        <w:t xml:space="preserve">4 </w:t>
      </w:r>
      <w:r w:rsidRPr="006B7788">
        <w:rPr>
          <w:sz w:val="20"/>
          <w:szCs w:val="20"/>
        </w:rPr>
        <w:t>with the IPMA merging with the ISMA in 2005</w:t>
      </w:r>
      <w:r w:rsidR="00131023" w:rsidRPr="006B7788">
        <w:rPr>
          <w:sz w:val="20"/>
          <w:szCs w:val="20"/>
        </w:rPr>
        <w:t xml:space="preserve"> to create the ICMA</w:t>
      </w:r>
      <w:r w:rsidRPr="006B7788">
        <w:rPr>
          <w:sz w:val="20"/>
          <w:szCs w:val="20"/>
        </w:rPr>
        <w:t>.</w:t>
      </w:r>
      <w:r w:rsidR="00DF71EE" w:rsidRPr="006B7788">
        <w:rPr>
          <w:sz w:val="20"/>
          <w:szCs w:val="20"/>
        </w:rPr>
        <w:t xml:space="preserve"> </w:t>
      </w:r>
    </w:p>
    <w:p w:rsidR="008735F9" w:rsidRDefault="00DF71EE" w:rsidP="006B7788">
      <w:pPr>
        <w:pStyle w:val="NormalWeb"/>
        <w:jc w:val="both"/>
        <w:rPr>
          <w:sz w:val="20"/>
          <w:szCs w:val="20"/>
        </w:rPr>
      </w:pPr>
      <w:r w:rsidRPr="006B7788">
        <w:rPr>
          <w:sz w:val="20"/>
          <w:szCs w:val="20"/>
        </w:rPr>
        <w:t>The ICMA has 620 members from 70 countries representing wholesale and retail debt securities markets. The ICMA operates as a not-for-profit association (</w:t>
      </w:r>
      <w:proofErr w:type="spellStart"/>
      <w:r w:rsidRPr="006B7788">
        <w:rPr>
          <w:i/>
          <w:sz w:val="20"/>
          <w:szCs w:val="20"/>
        </w:rPr>
        <w:t>Verein</w:t>
      </w:r>
      <w:proofErr w:type="spellEnd"/>
      <w:r w:rsidRPr="006B7788">
        <w:rPr>
          <w:sz w:val="20"/>
          <w:szCs w:val="20"/>
        </w:rPr>
        <w:t>) under the Swiss Civil Code with its headquarters in Zurich and offices in London, Paris, Brussels and Hong Kong. The ICMA carries out work in three principal fixed income market areas with primary, secondary, repurchase (repo) and collateral markets with two cross-sectional areas of Sustainable Finance and Financial Technology (</w:t>
      </w:r>
      <w:proofErr w:type="spellStart"/>
      <w:r w:rsidRPr="006B7788">
        <w:rPr>
          <w:sz w:val="20"/>
          <w:szCs w:val="20"/>
        </w:rPr>
        <w:t>FinTech</w:t>
      </w:r>
      <w:proofErr w:type="spellEnd"/>
      <w:r w:rsidRPr="006B7788">
        <w:rPr>
          <w:sz w:val="20"/>
          <w:szCs w:val="20"/>
        </w:rPr>
        <w:t>) and digitalisation.</w:t>
      </w:r>
      <w:r w:rsidR="00F255E4" w:rsidRPr="006B7788">
        <w:rPr>
          <w:sz w:val="20"/>
          <w:szCs w:val="20"/>
        </w:rPr>
        <w:t xml:space="preserve"> </w:t>
      </w:r>
    </w:p>
    <w:p w:rsidR="00F230BD" w:rsidRPr="006B7788" w:rsidRDefault="00284C8C" w:rsidP="006B7788">
      <w:pPr>
        <w:pStyle w:val="NormalWeb"/>
        <w:jc w:val="both"/>
        <w:rPr>
          <w:rFonts w:ascii="Arial Black" w:hAnsi="Arial Black"/>
          <w:sz w:val="20"/>
          <w:szCs w:val="20"/>
        </w:rPr>
      </w:pPr>
      <w:hyperlink r:id="rId7" w:history="1">
        <w:r w:rsidR="00F230BD" w:rsidRPr="006B7788">
          <w:rPr>
            <w:rStyle w:val="Hyperlink"/>
            <w:rFonts w:ascii="Arial Black" w:hAnsi="Arial Black"/>
            <w:sz w:val="20"/>
            <w:szCs w:val="20"/>
          </w:rPr>
          <w:t>https://www.icmagroup.org/About-ICMA/</w:t>
        </w:r>
      </w:hyperlink>
      <w:r w:rsidR="00F230BD" w:rsidRPr="006B7788">
        <w:rPr>
          <w:rFonts w:ascii="Arial Black" w:hAnsi="Arial Black"/>
          <w:sz w:val="20"/>
          <w:szCs w:val="20"/>
        </w:rPr>
        <w:t xml:space="preserve"> </w:t>
      </w:r>
    </w:p>
    <w:p w:rsidR="006B7788" w:rsidRPr="00692B7B" w:rsidRDefault="006B7788" w:rsidP="00692B7B">
      <w:pPr>
        <w:pStyle w:val="NormalWeb"/>
        <w:rPr>
          <w:rFonts w:ascii="Arial Black" w:hAnsi="Arial Black"/>
          <w:sz w:val="18"/>
          <w:szCs w:val="18"/>
        </w:rPr>
      </w:pPr>
      <w:r>
        <w:rPr>
          <w:noProof/>
        </w:rPr>
        <w:drawing>
          <wp:inline distT="0" distB="0" distL="0" distR="0">
            <wp:extent cx="2438400" cy="1811944"/>
            <wp:effectExtent l="0" t="0" r="0" b="0"/>
            <wp:docPr id="1" name="Picture 1" descr="IC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M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5181" cy="1824414"/>
                    </a:xfrm>
                    <a:prstGeom prst="rect">
                      <a:avLst/>
                    </a:prstGeom>
                    <a:noFill/>
                    <a:ln>
                      <a:noFill/>
                    </a:ln>
                  </pic:spPr>
                </pic:pic>
              </a:graphicData>
            </a:graphic>
          </wp:inline>
        </w:drawing>
      </w:r>
      <w:r>
        <w:rPr>
          <w:rFonts w:ascii="Arial Black" w:hAnsi="Arial Black"/>
          <w:sz w:val="18"/>
          <w:szCs w:val="18"/>
        </w:rPr>
        <w:t xml:space="preserve">            </w:t>
      </w:r>
      <w:r w:rsidRPr="006B7788">
        <w:rPr>
          <w:noProof/>
        </w:rPr>
        <w:drawing>
          <wp:inline distT="0" distB="0" distL="0" distR="0" wp14:anchorId="1C2CA19B" wp14:editId="77407340">
            <wp:extent cx="2761160" cy="1682115"/>
            <wp:effectExtent l="0" t="0" r="1270" b="0"/>
            <wp:docPr id="3" name="Picture 3" descr="C:\Users\GA Walker\Pictures\Screenshots\Screenshot (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 Walker\Pictures\Screenshots\Screenshot (16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6594" cy="1697609"/>
                    </a:xfrm>
                    <a:prstGeom prst="rect">
                      <a:avLst/>
                    </a:prstGeom>
                    <a:noFill/>
                    <a:ln>
                      <a:noFill/>
                    </a:ln>
                  </pic:spPr>
                </pic:pic>
              </a:graphicData>
            </a:graphic>
          </wp:inline>
        </w:drawing>
      </w:r>
      <w:r>
        <w:rPr>
          <w:rFonts w:ascii="Arial Black" w:hAnsi="Arial Black"/>
          <w:sz w:val="18"/>
          <w:szCs w:val="18"/>
        </w:rPr>
        <w:t xml:space="preserve">    </w:t>
      </w:r>
    </w:p>
    <w:p w:rsidR="00F4652C" w:rsidRPr="00735AC2" w:rsidRDefault="00F4652C" w:rsidP="00F4652C">
      <w:pPr>
        <w:pStyle w:val="NormalWeb"/>
        <w:rPr>
          <w:rFonts w:ascii="Arial Black" w:hAnsi="Arial Black"/>
          <w:sz w:val="20"/>
          <w:szCs w:val="20"/>
        </w:rPr>
      </w:pPr>
      <w:r w:rsidRPr="00735AC2">
        <w:rPr>
          <w:rFonts w:ascii="Arial Black" w:hAnsi="Arial Black"/>
          <w:sz w:val="20"/>
          <w:szCs w:val="20"/>
        </w:rPr>
        <w:t xml:space="preserve">ICMA MISSION </w:t>
      </w:r>
    </w:p>
    <w:p w:rsidR="00F4652C" w:rsidRPr="00735AC2" w:rsidRDefault="00F4652C" w:rsidP="00F4652C">
      <w:pPr>
        <w:pStyle w:val="NormalWeb"/>
        <w:rPr>
          <w:sz w:val="20"/>
          <w:szCs w:val="20"/>
        </w:rPr>
      </w:pPr>
      <w:r w:rsidRPr="00735AC2">
        <w:rPr>
          <w:sz w:val="20"/>
          <w:szCs w:val="20"/>
        </w:rPr>
        <w:t xml:space="preserve">The mission of ICMA is to promote resilient well-functioning international and globally coherent cross-border debt securities markets, which are essential to fund sustainable economic growth and development. </w:t>
      </w:r>
      <w:r w:rsidRPr="00735AC2">
        <w:rPr>
          <w:sz w:val="20"/>
          <w:szCs w:val="20"/>
        </w:rPr>
        <w:br/>
      </w:r>
      <w:r w:rsidRPr="00735AC2">
        <w:rPr>
          <w:sz w:val="20"/>
          <w:szCs w:val="20"/>
        </w:rPr>
        <w:br/>
        <w:t>In pursuit of its mission, ICMA is committed to:</w:t>
      </w:r>
    </w:p>
    <w:p w:rsidR="00F4652C" w:rsidRPr="003F26F9" w:rsidRDefault="00F4652C" w:rsidP="00F4652C">
      <w:pPr>
        <w:pStyle w:val="ListParagraph"/>
        <w:numPr>
          <w:ilvl w:val="0"/>
          <w:numId w:val="1"/>
        </w:numPr>
        <w:spacing w:before="100" w:beforeAutospacing="1" w:after="100" w:afterAutospacing="1"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b</w:t>
      </w:r>
      <w:r w:rsidRPr="003F26F9">
        <w:rPr>
          <w:rFonts w:ascii="Times New Roman" w:eastAsia="Times New Roman" w:hAnsi="Times New Roman" w:cs="Times New Roman"/>
          <w:sz w:val="20"/>
          <w:szCs w:val="20"/>
          <w:lang w:eastAsia="en-GB"/>
        </w:rPr>
        <w:t>uilding trust in the market by promoting internationally accepted standards of best practice through the development of appropriate, broadly accepted guidelines, rules, recommendations and standard documentation, aimed at maintaining and enhancing the framework of cross-border issuing, trading and investing in debt securities;</w:t>
      </w:r>
    </w:p>
    <w:p w:rsidR="00F4652C" w:rsidRPr="006E69C4" w:rsidRDefault="00F4652C" w:rsidP="00F4652C">
      <w:pPr>
        <w:numPr>
          <w:ilvl w:val="0"/>
          <w:numId w:val="1"/>
        </w:numPr>
        <w:spacing w:before="100" w:beforeAutospacing="1" w:after="100" w:afterAutospacing="1" w:line="240" w:lineRule="auto"/>
        <w:rPr>
          <w:rFonts w:ascii="Times New Roman" w:eastAsia="Times New Roman" w:hAnsi="Times New Roman" w:cs="Times New Roman"/>
          <w:sz w:val="20"/>
          <w:szCs w:val="20"/>
          <w:lang w:eastAsia="en-GB"/>
        </w:rPr>
      </w:pPr>
      <w:r w:rsidRPr="006E69C4">
        <w:rPr>
          <w:rFonts w:ascii="Times New Roman" w:eastAsia="Times New Roman" w:hAnsi="Times New Roman" w:cs="Times New Roman"/>
          <w:sz w:val="20"/>
          <w:szCs w:val="20"/>
          <w:lang w:eastAsia="en-GB"/>
        </w:rPr>
        <w:t>contributing to the development of sustainable finance through the capital markets;</w:t>
      </w:r>
    </w:p>
    <w:p w:rsidR="00F4652C" w:rsidRPr="006E69C4" w:rsidRDefault="00F4652C" w:rsidP="00F4652C">
      <w:pPr>
        <w:numPr>
          <w:ilvl w:val="0"/>
          <w:numId w:val="1"/>
        </w:numPr>
        <w:spacing w:before="100" w:beforeAutospacing="1" w:after="100" w:afterAutospacing="1" w:line="240" w:lineRule="auto"/>
        <w:rPr>
          <w:rFonts w:ascii="Times New Roman" w:eastAsia="Times New Roman" w:hAnsi="Times New Roman" w:cs="Times New Roman"/>
          <w:sz w:val="20"/>
          <w:szCs w:val="20"/>
          <w:lang w:eastAsia="en-GB"/>
        </w:rPr>
      </w:pPr>
      <w:r w:rsidRPr="006E69C4">
        <w:rPr>
          <w:rFonts w:ascii="Times New Roman" w:eastAsia="Times New Roman" w:hAnsi="Times New Roman" w:cs="Times New Roman"/>
          <w:sz w:val="20"/>
          <w:szCs w:val="20"/>
          <w:lang w:eastAsia="en-GB"/>
        </w:rPr>
        <w:t>encouraging information flows and dialogue between all participants in the international capital markets: borrowers, intermediaries and investors, and service providers, including trading platforms, clearing houses and law firms;</w:t>
      </w:r>
    </w:p>
    <w:p w:rsidR="00F4652C" w:rsidRPr="006E69C4" w:rsidRDefault="00F4652C" w:rsidP="00F4652C">
      <w:pPr>
        <w:numPr>
          <w:ilvl w:val="0"/>
          <w:numId w:val="1"/>
        </w:numPr>
        <w:spacing w:before="100" w:beforeAutospacing="1" w:after="100" w:afterAutospacing="1" w:line="240" w:lineRule="auto"/>
        <w:rPr>
          <w:rFonts w:ascii="Times New Roman" w:eastAsia="Times New Roman" w:hAnsi="Times New Roman" w:cs="Times New Roman"/>
          <w:sz w:val="20"/>
          <w:szCs w:val="20"/>
          <w:lang w:eastAsia="en-GB"/>
        </w:rPr>
      </w:pPr>
      <w:r w:rsidRPr="006E69C4">
        <w:rPr>
          <w:rFonts w:ascii="Times New Roman" w:eastAsia="Times New Roman" w:hAnsi="Times New Roman" w:cs="Times New Roman"/>
          <w:sz w:val="20"/>
          <w:szCs w:val="20"/>
          <w:lang w:eastAsia="en-GB"/>
        </w:rPr>
        <w:t xml:space="preserve">engaging with international and national regulators and policy makers and providing them with market expertise and technical knowledge across all ICMA’s core areas, to assist in ensuring that financial </w:t>
      </w:r>
      <w:r w:rsidR="001D67A5">
        <w:rPr>
          <w:rFonts w:ascii="Times New Roman" w:eastAsia="Times New Roman" w:hAnsi="Times New Roman" w:cs="Times New Roman"/>
          <w:sz w:val="20"/>
          <w:szCs w:val="20"/>
          <w:lang w:eastAsia="en-GB"/>
        </w:rPr>
        <w:t>s</w:t>
      </w:r>
      <w:r w:rsidRPr="006E69C4">
        <w:rPr>
          <w:rFonts w:ascii="Times New Roman" w:eastAsia="Times New Roman" w:hAnsi="Times New Roman" w:cs="Times New Roman"/>
          <w:sz w:val="20"/>
          <w:szCs w:val="20"/>
          <w:lang w:eastAsia="en-GB"/>
        </w:rPr>
        <w:t>regulation promotes the resilience, efficiency and cost effectiveness of international capital markets;</w:t>
      </w:r>
    </w:p>
    <w:p w:rsidR="00F4652C" w:rsidRPr="006E69C4" w:rsidRDefault="00F4652C" w:rsidP="00F4652C">
      <w:pPr>
        <w:numPr>
          <w:ilvl w:val="0"/>
          <w:numId w:val="1"/>
        </w:numPr>
        <w:spacing w:before="100" w:beforeAutospacing="1" w:after="100" w:afterAutospacing="1" w:line="240" w:lineRule="auto"/>
        <w:rPr>
          <w:rFonts w:ascii="Times New Roman" w:eastAsia="Times New Roman" w:hAnsi="Times New Roman" w:cs="Times New Roman"/>
          <w:sz w:val="20"/>
          <w:szCs w:val="20"/>
          <w:lang w:eastAsia="en-GB"/>
        </w:rPr>
      </w:pPr>
      <w:r w:rsidRPr="006E69C4">
        <w:rPr>
          <w:rFonts w:ascii="Times New Roman" w:eastAsia="Times New Roman" w:hAnsi="Times New Roman" w:cs="Times New Roman"/>
          <w:sz w:val="20"/>
          <w:szCs w:val="20"/>
          <w:lang w:eastAsia="en-GB"/>
        </w:rPr>
        <w:t>providing networking opportunities for market participants through conferences, seminars, roundtables and other events;</w:t>
      </w:r>
    </w:p>
    <w:p w:rsidR="00F4652C" w:rsidRPr="006E69C4" w:rsidRDefault="00F4652C" w:rsidP="00F4652C">
      <w:pPr>
        <w:numPr>
          <w:ilvl w:val="0"/>
          <w:numId w:val="1"/>
        </w:numPr>
        <w:spacing w:before="100" w:beforeAutospacing="1" w:after="100" w:afterAutospacing="1" w:line="240" w:lineRule="auto"/>
        <w:rPr>
          <w:rFonts w:ascii="Times New Roman" w:eastAsia="Times New Roman" w:hAnsi="Times New Roman" w:cs="Times New Roman"/>
          <w:sz w:val="20"/>
          <w:szCs w:val="20"/>
          <w:lang w:eastAsia="en-GB"/>
        </w:rPr>
      </w:pPr>
      <w:r w:rsidRPr="006E69C4">
        <w:rPr>
          <w:rFonts w:ascii="Times New Roman" w:eastAsia="Times New Roman" w:hAnsi="Times New Roman" w:cs="Times New Roman"/>
          <w:sz w:val="20"/>
          <w:szCs w:val="20"/>
          <w:lang w:eastAsia="en-GB"/>
        </w:rPr>
        <w:t>promoting high professional standards for capital market participants by providing training and education opportunities.</w:t>
      </w:r>
    </w:p>
    <w:p w:rsidR="002075D8" w:rsidRPr="00CE6E6E" w:rsidRDefault="00284C8C" w:rsidP="00692B7B">
      <w:pPr>
        <w:pStyle w:val="NormalWeb"/>
        <w:rPr>
          <w:rStyle w:val="Hyperlink"/>
          <w:rFonts w:ascii="Arial Black" w:hAnsi="Arial Black"/>
          <w:color w:val="auto"/>
          <w:sz w:val="20"/>
          <w:szCs w:val="20"/>
          <w:u w:val="none"/>
        </w:rPr>
      </w:pPr>
      <w:hyperlink r:id="rId10" w:tgtFrame="_blank" w:history="1">
        <w:r w:rsidR="002075D8" w:rsidRPr="00CE6E6E">
          <w:rPr>
            <w:rStyle w:val="Hyperlink"/>
            <w:rFonts w:ascii="Arial Black" w:hAnsi="Arial Black"/>
            <w:color w:val="auto"/>
            <w:sz w:val="20"/>
            <w:szCs w:val="20"/>
            <w:u w:val="none"/>
          </w:rPr>
          <w:t>HISTORY OF THE EUROBOND MARKET</w:t>
        </w:r>
      </w:hyperlink>
      <w:bookmarkStart w:id="0" w:name="_GoBack"/>
      <w:bookmarkEnd w:id="0"/>
    </w:p>
    <w:tbl>
      <w:tblPr>
        <w:tblW w:w="7500" w:type="dxa"/>
        <w:tblCellSpacing w:w="15" w:type="dxa"/>
        <w:tblCellMar>
          <w:top w:w="15" w:type="dxa"/>
          <w:left w:w="15" w:type="dxa"/>
          <w:bottom w:w="15" w:type="dxa"/>
          <w:right w:w="15" w:type="dxa"/>
        </w:tblCellMar>
        <w:tblLook w:val="04A0" w:firstRow="1" w:lastRow="0" w:firstColumn="1" w:lastColumn="0" w:noHBand="0" w:noVBand="1"/>
      </w:tblPr>
      <w:tblGrid>
        <w:gridCol w:w="475"/>
        <w:gridCol w:w="7025"/>
      </w:tblGrid>
      <w:tr w:rsidR="002075D8" w:rsidRPr="00AD48F9" w:rsidTr="00D14EB9">
        <w:trPr>
          <w:tblCellSpacing w:w="15" w:type="dxa"/>
        </w:trPr>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b/>
                <w:sz w:val="20"/>
                <w:szCs w:val="20"/>
                <w:lang w:eastAsia="en-GB"/>
              </w:rPr>
              <w:t>1963</w:t>
            </w:r>
          </w:p>
        </w:tc>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sz w:val="20"/>
                <w:szCs w:val="20"/>
                <w:lang w:eastAsia="en-GB"/>
              </w:rPr>
              <w:t xml:space="preserve">First Fixed rate issue: </w:t>
            </w:r>
            <w:proofErr w:type="spellStart"/>
            <w:r w:rsidRPr="00AD48F9">
              <w:rPr>
                <w:rFonts w:ascii="Times New Roman" w:eastAsia="Times New Roman" w:hAnsi="Times New Roman" w:cs="Times New Roman"/>
                <w:sz w:val="20"/>
                <w:szCs w:val="20"/>
                <w:lang w:eastAsia="en-GB"/>
              </w:rPr>
              <w:t>Autostrade</w:t>
            </w:r>
            <w:proofErr w:type="spellEnd"/>
          </w:p>
        </w:tc>
      </w:tr>
      <w:tr w:rsidR="002075D8" w:rsidRPr="00AD48F9" w:rsidTr="00D14EB9">
        <w:trPr>
          <w:tblCellSpacing w:w="15" w:type="dxa"/>
        </w:trPr>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b/>
                <w:sz w:val="20"/>
                <w:szCs w:val="20"/>
                <w:lang w:eastAsia="en-GB"/>
              </w:rPr>
              <w:t>1969</w:t>
            </w:r>
          </w:p>
        </w:tc>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sz w:val="20"/>
                <w:szCs w:val="20"/>
                <w:lang w:eastAsia="en-GB"/>
              </w:rPr>
              <w:t>Launch of Association of International Bond Dealers (AIBD)</w:t>
            </w:r>
          </w:p>
        </w:tc>
      </w:tr>
      <w:tr w:rsidR="002075D8" w:rsidRPr="00AD48F9" w:rsidTr="00D14EB9">
        <w:trPr>
          <w:tblCellSpacing w:w="15" w:type="dxa"/>
        </w:trPr>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b/>
                <w:sz w:val="20"/>
                <w:szCs w:val="20"/>
                <w:lang w:eastAsia="en-GB"/>
              </w:rPr>
              <w:t>1969</w:t>
            </w:r>
          </w:p>
        </w:tc>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sz w:val="20"/>
                <w:szCs w:val="20"/>
                <w:lang w:eastAsia="en-GB"/>
              </w:rPr>
              <w:t xml:space="preserve">Launch of </w:t>
            </w:r>
            <w:proofErr w:type="spellStart"/>
            <w:r w:rsidRPr="00AD48F9">
              <w:rPr>
                <w:rFonts w:ascii="Times New Roman" w:eastAsia="Times New Roman" w:hAnsi="Times New Roman" w:cs="Times New Roman"/>
                <w:sz w:val="20"/>
                <w:szCs w:val="20"/>
                <w:lang w:eastAsia="en-GB"/>
              </w:rPr>
              <w:t>Euromoney</w:t>
            </w:r>
            <w:proofErr w:type="spellEnd"/>
          </w:p>
        </w:tc>
      </w:tr>
      <w:tr w:rsidR="002075D8" w:rsidRPr="00AD48F9" w:rsidTr="00D14EB9">
        <w:trPr>
          <w:tblCellSpacing w:w="15" w:type="dxa"/>
        </w:trPr>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b/>
                <w:sz w:val="20"/>
                <w:szCs w:val="20"/>
                <w:lang w:eastAsia="en-GB"/>
              </w:rPr>
              <w:t>1969</w:t>
            </w:r>
          </w:p>
        </w:tc>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sz w:val="20"/>
                <w:szCs w:val="20"/>
                <w:lang w:eastAsia="en-GB"/>
              </w:rPr>
              <w:t xml:space="preserve">Euro-clear established (forerunner of </w:t>
            </w:r>
            <w:proofErr w:type="spellStart"/>
            <w:r w:rsidRPr="00AD48F9">
              <w:rPr>
                <w:rFonts w:ascii="Times New Roman" w:eastAsia="Times New Roman" w:hAnsi="Times New Roman" w:cs="Times New Roman"/>
                <w:sz w:val="20"/>
                <w:szCs w:val="20"/>
                <w:lang w:eastAsia="en-GB"/>
              </w:rPr>
              <w:t>Euroclear</w:t>
            </w:r>
            <w:proofErr w:type="spellEnd"/>
            <w:r w:rsidRPr="00AD48F9">
              <w:rPr>
                <w:rFonts w:ascii="Times New Roman" w:eastAsia="Times New Roman" w:hAnsi="Times New Roman" w:cs="Times New Roman"/>
                <w:sz w:val="20"/>
                <w:szCs w:val="20"/>
                <w:lang w:eastAsia="en-GB"/>
              </w:rPr>
              <w:t>)</w:t>
            </w:r>
          </w:p>
        </w:tc>
      </w:tr>
      <w:tr w:rsidR="002075D8" w:rsidRPr="00AD48F9" w:rsidTr="00D14EB9">
        <w:trPr>
          <w:tblCellSpacing w:w="15" w:type="dxa"/>
        </w:trPr>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b/>
                <w:sz w:val="20"/>
                <w:szCs w:val="20"/>
                <w:lang w:eastAsia="en-GB"/>
              </w:rPr>
              <w:t>1970</w:t>
            </w:r>
          </w:p>
        </w:tc>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proofErr w:type="spellStart"/>
            <w:r w:rsidRPr="00AD48F9">
              <w:rPr>
                <w:rFonts w:ascii="Times New Roman" w:eastAsia="Times New Roman" w:hAnsi="Times New Roman" w:cs="Times New Roman"/>
                <w:sz w:val="20"/>
                <w:szCs w:val="20"/>
                <w:lang w:eastAsia="en-GB"/>
              </w:rPr>
              <w:t>Cedel</w:t>
            </w:r>
            <w:proofErr w:type="spellEnd"/>
            <w:r w:rsidRPr="00AD48F9">
              <w:rPr>
                <w:rFonts w:ascii="Times New Roman" w:eastAsia="Times New Roman" w:hAnsi="Times New Roman" w:cs="Times New Roman"/>
                <w:sz w:val="20"/>
                <w:szCs w:val="20"/>
                <w:lang w:eastAsia="en-GB"/>
              </w:rPr>
              <w:t xml:space="preserve"> established (forerunner of </w:t>
            </w:r>
            <w:proofErr w:type="spellStart"/>
            <w:r w:rsidRPr="00AD48F9">
              <w:rPr>
                <w:rFonts w:ascii="Times New Roman" w:eastAsia="Times New Roman" w:hAnsi="Times New Roman" w:cs="Times New Roman"/>
                <w:sz w:val="20"/>
                <w:szCs w:val="20"/>
                <w:lang w:eastAsia="en-GB"/>
              </w:rPr>
              <w:t>Clearstream</w:t>
            </w:r>
            <w:proofErr w:type="spellEnd"/>
            <w:r w:rsidRPr="00AD48F9">
              <w:rPr>
                <w:rFonts w:ascii="Times New Roman" w:eastAsia="Times New Roman" w:hAnsi="Times New Roman" w:cs="Times New Roman"/>
                <w:sz w:val="20"/>
                <w:szCs w:val="20"/>
                <w:lang w:eastAsia="en-GB"/>
              </w:rPr>
              <w:t>)</w:t>
            </w:r>
          </w:p>
        </w:tc>
      </w:tr>
      <w:tr w:rsidR="002075D8" w:rsidRPr="00AD48F9" w:rsidTr="00D14EB9">
        <w:trPr>
          <w:tblCellSpacing w:w="15" w:type="dxa"/>
        </w:trPr>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b/>
                <w:sz w:val="20"/>
                <w:szCs w:val="20"/>
                <w:lang w:eastAsia="en-GB"/>
              </w:rPr>
              <w:t>1970</w:t>
            </w:r>
          </w:p>
        </w:tc>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sz w:val="20"/>
                <w:szCs w:val="20"/>
                <w:lang w:eastAsia="en-GB"/>
              </w:rPr>
              <w:t>First Floating Rate Note: ENEL</w:t>
            </w:r>
          </w:p>
        </w:tc>
      </w:tr>
      <w:tr w:rsidR="002075D8" w:rsidRPr="00AD48F9" w:rsidTr="00D14EB9">
        <w:trPr>
          <w:tblCellSpacing w:w="15" w:type="dxa"/>
        </w:trPr>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b/>
                <w:sz w:val="20"/>
                <w:szCs w:val="20"/>
                <w:lang w:eastAsia="en-GB"/>
              </w:rPr>
              <w:t>1979</w:t>
            </w:r>
          </w:p>
        </w:tc>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sz w:val="20"/>
                <w:szCs w:val="20"/>
                <w:lang w:eastAsia="en-GB"/>
              </w:rPr>
              <w:t>First bought deal: GMAC</w:t>
            </w:r>
          </w:p>
        </w:tc>
      </w:tr>
      <w:tr w:rsidR="002075D8" w:rsidRPr="00AD48F9" w:rsidTr="00D14EB9">
        <w:trPr>
          <w:tblCellSpacing w:w="15" w:type="dxa"/>
        </w:trPr>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b/>
                <w:sz w:val="20"/>
                <w:szCs w:val="20"/>
                <w:lang w:eastAsia="en-GB"/>
              </w:rPr>
              <w:t>1981</w:t>
            </w:r>
          </w:p>
        </w:tc>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sz w:val="20"/>
                <w:szCs w:val="20"/>
                <w:lang w:eastAsia="en-GB"/>
              </w:rPr>
              <w:t>First swap: IBM/IBRD</w:t>
            </w:r>
          </w:p>
        </w:tc>
      </w:tr>
      <w:tr w:rsidR="002075D8" w:rsidRPr="00AD48F9" w:rsidTr="00D14EB9">
        <w:trPr>
          <w:tblCellSpacing w:w="15" w:type="dxa"/>
        </w:trPr>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b/>
                <w:sz w:val="20"/>
                <w:szCs w:val="20"/>
                <w:lang w:eastAsia="en-GB"/>
              </w:rPr>
              <w:t>1989</w:t>
            </w:r>
          </w:p>
        </w:tc>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sz w:val="20"/>
                <w:szCs w:val="20"/>
                <w:lang w:eastAsia="en-GB"/>
              </w:rPr>
              <w:t>Fixed price reoffer introduced</w:t>
            </w:r>
          </w:p>
        </w:tc>
      </w:tr>
      <w:tr w:rsidR="002075D8" w:rsidRPr="00AD48F9" w:rsidTr="00D14EB9">
        <w:trPr>
          <w:tblCellSpacing w:w="15" w:type="dxa"/>
        </w:trPr>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b/>
                <w:sz w:val="20"/>
                <w:szCs w:val="20"/>
                <w:lang w:eastAsia="en-GB"/>
              </w:rPr>
              <w:t>1989</w:t>
            </w:r>
          </w:p>
        </w:tc>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sz w:val="20"/>
                <w:szCs w:val="20"/>
                <w:lang w:eastAsia="en-GB"/>
              </w:rPr>
              <w:t>First global bond: World Bank</w:t>
            </w:r>
          </w:p>
        </w:tc>
      </w:tr>
      <w:tr w:rsidR="002075D8" w:rsidRPr="00AD48F9" w:rsidTr="00D14EB9">
        <w:trPr>
          <w:tblCellSpacing w:w="15" w:type="dxa"/>
        </w:trPr>
        <w:tc>
          <w:tcPr>
            <w:tcW w:w="0" w:type="auto"/>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b/>
                <w:sz w:val="20"/>
                <w:szCs w:val="20"/>
                <w:lang w:eastAsia="en-GB"/>
              </w:rPr>
              <w:t>1992</w:t>
            </w:r>
          </w:p>
        </w:tc>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sz w:val="20"/>
                <w:szCs w:val="20"/>
                <w:lang w:eastAsia="en-GB"/>
              </w:rPr>
              <w:t>Association of International Bond Dealers (AIBD) changes name to International Securities Market Association (ISMA)</w:t>
            </w:r>
          </w:p>
        </w:tc>
      </w:tr>
      <w:tr w:rsidR="002075D8" w:rsidRPr="00AD48F9" w:rsidTr="00D14EB9">
        <w:trPr>
          <w:tblCellSpacing w:w="15" w:type="dxa"/>
        </w:trPr>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b/>
                <w:sz w:val="20"/>
                <w:szCs w:val="20"/>
                <w:lang w:eastAsia="en-GB"/>
              </w:rPr>
              <w:t>1994</w:t>
            </w:r>
          </w:p>
        </w:tc>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sz w:val="20"/>
                <w:szCs w:val="20"/>
                <w:lang w:eastAsia="en-GB"/>
              </w:rPr>
              <w:t>First CDS: Exxon/EBRD</w:t>
            </w:r>
          </w:p>
        </w:tc>
      </w:tr>
      <w:tr w:rsidR="002075D8" w:rsidRPr="00AD48F9" w:rsidTr="00D14EB9">
        <w:trPr>
          <w:tblCellSpacing w:w="15" w:type="dxa"/>
        </w:trPr>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b/>
                <w:sz w:val="20"/>
                <w:szCs w:val="20"/>
                <w:lang w:eastAsia="en-GB"/>
              </w:rPr>
              <w:t>1999</w:t>
            </w:r>
          </w:p>
        </w:tc>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sz w:val="20"/>
                <w:szCs w:val="20"/>
                <w:lang w:eastAsia="en-GB"/>
              </w:rPr>
              <w:t>Pot deal introduced</w:t>
            </w:r>
          </w:p>
        </w:tc>
      </w:tr>
      <w:tr w:rsidR="002075D8" w:rsidRPr="00AD48F9" w:rsidTr="00D14EB9">
        <w:trPr>
          <w:tblCellSpacing w:w="15" w:type="dxa"/>
        </w:trPr>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b/>
                <w:sz w:val="20"/>
                <w:szCs w:val="20"/>
                <w:lang w:eastAsia="en-GB"/>
              </w:rPr>
              <w:t>1999</w:t>
            </w:r>
          </w:p>
        </w:tc>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sz w:val="20"/>
                <w:szCs w:val="20"/>
                <w:lang w:eastAsia="en-GB"/>
              </w:rPr>
              <w:t>Euro introduced in 12 countries forming the Eurozone</w:t>
            </w:r>
          </w:p>
        </w:tc>
      </w:tr>
      <w:tr w:rsidR="002075D8" w:rsidRPr="00AD48F9" w:rsidTr="00D14EB9">
        <w:trPr>
          <w:tblCellSpacing w:w="15" w:type="dxa"/>
        </w:trPr>
        <w:tc>
          <w:tcPr>
            <w:tcW w:w="0" w:type="auto"/>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b/>
                <w:sz w:val="20"/>
                <w:szCs w:val="20"/>
                <w:lang w:eastAsia="en-GB"/>
              </w:rPr>
              <w:t>2005</w:t>
            </w:r>
          </w:p>
        </w:tc>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sz w:val="20"/>
                <w:szCs w:val="20"/>
                <w:lang w:eastAsia="en-GB"/>
              </w:rPr>
              <w:t xml:space="preserve">International Securities Market Association (ISMA) and International Primary Market </w:t>
            </w:r>
            <w:proofErr w:type="spellStart"/>
            <w:r w:rsidRPr="00AD48F9">
              <w:rPr>
                <w:rFonts w:ascii="Times New Roman" w:eastAsia="Times New Roman" w:hAnsi="Times New Roman" w:cs="Times New Roman"/>
                <w:sz w:val="20"/>
                <w:szCs w:val="20"/>
                <w:lang w:eastAsia="en-GB"/>
              </w:rPr>
              <w:t>Assocation</w:t>
            </w:r>
            <w:proofErr w:type="spellEnd"/>
            <w:r w:rsidRPr="00AD48F9">
              <w:rPr>
                <w:rFonts w:ascii="Times New Roman" w:eastAsia="Times New Roman" w:hAnsi="Times New Roman" w:cs="Times New Roman"/>
                <w:sz w:val="20"/>
                <w:szCs w:val="20"/>
                <w:lang w:eastAsia="en-GB"/>
              </w:rPr>
              <w:t xml:space="preserve"> (IPMA) merge to form International Capital Market Association (ICMA)</w:t>
            </w:r>
          </w:p>
        </w:tc>
      </w:tr>
      <w:tr w:rsidR="002075D8" w:rsidRPr="00AD48F9" w:rsidTr="00D14EB9">
        <w:trPr>
          <w:tblCellSpacing w:w="15" w:type="dxa"/>
        </w:trPr>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b/>
                <w:sz w:val="20"/>
                <w:szCs w:val="20"/>
                <w:lang w:eastAsia="en-GB"/>
              </w:rPr>
              <w:t>2007</w:t>
            </w:r>
          </w:p>
        </w:tc>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sz w:val="20"/>
                <w:szCs w:val="20"/>
                <w:lang w:eastAsia="en-GB"/>
              </w:rPr>
              <w:t>Global credit crisis starts</w:t>
            </w:r>
          </w:p>
        </w:tc>
      </w:tr>
      <w:tr w:rsidR="002075D8" w:rsidRPr="00AD48F9" w:rsidTr="00D14EB9">
        <w:trPr>
          <w:tblCellSpacing w:w="15" w:type="dxa"/>
        </w:trPr>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b/>
                <w:sz w:val="20"/>
                <w:szCs w:val="20"/>
                <w:lang w:eastAsia="en-GB"/>
              </w:rPr>
              <w:t>2008</w:t>
            </w:r>
          </w:p>
        </w:tc>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sz w:val="20"/>
                <w:szCs w:val="20"/>
                <w:lang w:eastAsia="en-GB"/>
              </w:rPr>
              <w:t>Lehman’s default</w:t>
            </w:r>
          </w:p>
        </w:tc>
      </w:tr>
      <w:tr w:rsidR="002075D8" w:rsidRPr="00AD48F9" w:rsidTr="00D14EB9">
        <w:trPr>
          <w:tblCellSpacing w:w="15" w:type="dxa"/>
        </w:trPr>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b/>
                <w:sz w:val="20"/>
                <w:szCs w:val="20"/>
                <w:lang w:eastAsia="en-GB"/>
              </w:rPr>
              <w:t>2010</w:t>
            </w:r>
          </w:p>
        </w:tc>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sz w:val="20"/>
                <w:szCs w:val="20"/>
                <w:lang w:eastAsia="en-GB"/>
              </w:rPr>
              <w:t>European sovereign debt crisis starts</w:t>
            </w:r>
          </w:p>
        </w:tc>
      </w:tr>
      <w:tr w:rsidR="002075D8" w:rsidRPr="00AD48F9" w:rsidTr="00D14EB9">
        <w:trPr>
          <w:tblCellSpacing w:w="15" w:type="dxa"/>
        </w:trPr>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b/>
                <w:sz w:val="20"/>
                <w:szCs w:val="20"/>
                <w:lang w:eastAsia="en-GB"/>
              </w:rPr>
              <w:t>2013</w:t>
            </w:r>
          </w:p>
        </w:tc>
        <w:tc>
          <w:tcPr>
            <w:tcW w:w="0" w:type="auto"/>
            <w:vAlign w:val="center"/>
            <w:hideMark/>
          </w:tcPr>
          <w:p w:rsidR="002075D8" w:rsidRPr="00AD48F9" w:rsidRDefault="002075D8" w:rsidP="00D14EB9">
            <w:pPr>
              <w:spacing w:after="0" w:line="240" w:lineRule="auto"/>
              <w:rPr>
                <w:rFonts w:ascii="Times New Roman" w:eastAsia="Times New Roman" w:hAnsi="Times New Roman" w:cs="Times New Roman"/>
                <w:sz w:val="20"/>
                <w:szCs w:val="20"/>
                <w:lang w:eastAsia="en-GB"/>
              </w:rPr>
            </w:pPr>
            <w:r w:rsidRPr="00AD48F9">
              <w:rPr>
                <w:rFonts w:ascii="Times New Roman" w:eastAsia="Times New Roman" w:hAnsi="Times New Roman" w:cs="Times New Roman"/>
                <w:sz w:val="20"/>
                <w:szCs w:val="20"/>
                <w:lang w:eastAsia="en-GB"/>
              </w:rPr>
              <w:t>50th Anniversary of the Eurobond Market</w:t>
            </w:r>
          </w:p>
        </w:tc>
      </w:tr>
    </w:tbl>
    <w:p w:rsidR="00043086" w:rsidRPr="00043086" w:rsidRDefault="006B7788" w:rsidP="00043086">
      <w:pPr>
        <w:pStyle w:val="NormalWeb"/>
      </w:pPr>
      <w:r w:rsidRPr="006B7788">
        <w:rPr>
          <w:rFonts w:ascii="Arial Black" w:hAnsi="Arial Black"/>
          <w:noProof/>
          <w:sz w:val="18"/>
          <w:szCs w:val="18"/>
        </w:rPr>
        <w:drawing>
          <wp:inline distT="0" distB="0" distL="0" distR="0" wp14:anchorId="6239A062" wp14:editId="57CAB641">
            <wp:extent cx="2660649" cy="1727200"/>
            <wp:effectExtent l="0" t="0" r="6985" b="6350"/>
            <wp:docPr id="2" name="Picture 2" descr="C:\Users\GA Walker\Pictures\Screenshots\Screenshot (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 Walker\Pictures\Screenshots\Screenshot (16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6245" cy="1737324"/>
                    </a:xfrm>
                    <a:prstGeom prst="rect">
                      <a:avLst/>
                    </a:prstGeom>
                    <a:noFill/>
                    <a:ln>
                      <a:noFill/>
                    </a:ln>
                  </pic:spPr>
                </pic:pic>
              </a:graphicData>
            </a:graphic>
          </wp:inline>
        </w:drawing>
      </w:r>
      <w:r w:rsidR="00043086">
        <w:t xml:space="preserve">  </w:t>
      </w:r>
      <w:r w:rsidR="005A1AA8">
        <w:t xml:space="preserve">  </w:t>
      </w:r>
      <w:r w:rsidR="00043086">
        <w:t xml:space="preserve">    </w:t>
      </w:r>
      <w:r w:rsidR="00043086" w:rsidRPr="00043086">
        <w:rPr>
          <w:noProof/>
        </w:rPr>
        <w:drawing>
          <wp:inline distT="0" distB="0" distL="0" distR="0">
            <wp:extent cx="2688879" cy="1718799"/>
            <wp:effectExtent l="0" t="0" r="0" b="0"/>
            <wp:docPr id="4" name="Picture 4" descr="C:\Users\GA Walker\Pictures\Screenshots\Screenshot (1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 Walker\Pictures\Screenshots\Screenshot (171.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9010" cy="1738059"/>
                    </a:xfrm>
                    <a:prstGeom prst="rect">
                      <a:avLst/>
                    </a:prstGeom>
                    <a:noFill/>
                    <a:ln>
                      <a:noFill/>
                    </a:ln>
                  </pic:spPr>
                </pic:pic>
              </a:graphicData>
            </a:graphic>
          </wp:inline>
        </w:drawing>
      </w:r>
    </w:p>
    <w:p w:rsidR="006B7788" w:rsidRPr="006B7788" w:rsidRDefault="00043086" w:rsidP="006B7788">
      <w:pPr>
        <w:spacing w:before="100" w:beforeAutospacing="1" w:after="100" w:afterAutospacing="1" w:line="240" w:lineRule="auto"/>
        <w:rPr>
          <w:rFonts w:ascii="Arial Black" w:eastAsia="Times New Roman" w:hAnsi="Arial Black" w:cs="Times New Roman"/>
          <w:sz w:val="20"/>
          <w:szCs w:val="20"/>
          <w:lang w:eastAsia="en-GB"/>
        </w:rPr>
      </w:pPr>
      <w:r w:rsidRPr="00043086">
        <w:rPr>
          <w:rFonts w:ascii="Arial Black" w:hAnsi="Arial Black"/>
          <w:sz w:val="20"/>
          <w:szCs w:val="20"/>
        </w:rPr>
        <w:t>PRIMARY MARKET HANDBOOK</w:t>
      </w:r>
    </w:p>
    <w:p w:rsidR="00043086" w:rsidRDefault="00043086" w:rsidP="00692B7B">
      <w:pPr>
        <w:pStyle w:val="NormalWeb"/>
      </w:pPr>
      <w:r>
        <w:t>ICMA maintains a Primary Market Handbook although this is now only made available online in light of environmental considerations. This is based on the original ‘IPMA Handbook’ which commenced in 1985. The Handbook is continually reviewed and revised in response to market developments.</w:t>
      </w:r>
      <w:r>
        <w:br/>
      </w:r>
      <w:r>
        <w:br/>
        <w:t xml:space="preserve">The Handbook consists of ICMA Recommendations, guidance and standard language with </w:t>
      </w:r>
      <w:r w:rsidR="00D41865">
        <w:t xml:space="preserve">draft </w:t>
      </w:r>
      <w:r>
        <w:t xml:space="preserve">documentation, </w:t>
      </w:r>
      <w:r w:rsidR="00D41865">
        <w:t>relating to s</w:t>
      </w:r>
      <w:r>
        <w:t xml:space="preserve">yndicated international bonds </w:t>
      </w:r>
      <w:r w:rsidR="00D41865">
        <w:t xml:space="preserve">offers </w:t>
      </w:r>
      <w:r>
        <w:t>in the primary market, offer programmes and Euro-commercial paper tr</w:t>
      </w:r>
      <w:r w:rsidR="0046643F">
        <w:t>a</w:t>
      </w:r>
      <w:r>
        <w:t xml:space="preserve">nsactions. </w:t>
      </w:r>
    </w:p>
    <w:p w:rsidR="00043086" w:rsidRDefault="00043086" w:rsidP="00043086">
      <w:pPr>
        <w:pStyle w:val="NormalWeb"/>
      </w:pPr>
      <w:r>
        <w:t xml:space="preserve">The Handbook is maintained by the ICMA Executive Committee which acts on the advice of the ICMA Primary Market Practices Committee and ICMA Legal &amp; Documentation Committee. </w:t>
      </w:r>
    </w:p>
    <w:p w:rsidR="00461F8F" w:rsidRDefault="00461F8F" w:rsidP="009F4F7F">
      <w:pPr>
        <w:pStyle w:val="NormalWeb"/>
        <w:rPr>
          <w:rFonts w:ascii="Arial Black" w:hAnsi="Arial Black"/>
          <w:sz w:val="20"/>
          <w:szCs w:val="20"/>
        </w:rPr>
      </w:pPr>
      <w:r w:rsidRPr="00043086">
        <w:rPr>
          <w:rFonts w:ascii="Arial Black" w:hAnsi="Arial Black"/>
          <w:sz w:val="20"/>
          <w:szCs w:val="20"/>
        </w:rPr>
        <w:t>PRIMARY MARKET HANDBOOK</w:t>
      </w:r>
    </w:p>
    <w:p w:rsidR="009F4F7F" w:rsidRDefault="00F5334F" w:rsidP="009F4F7F">
      <w:pPr>
        <w:pStyle w:val="NormalWeb"/>
      </w:pPr>
      <w:r w:rsidRPr="00F5334F">
        <w:rPr>
          <w:noProof/>
        </w:rPr>
        <w:drawing>
          <wp:inline distT="0" distB="0" distL="0" distR="0">
            <wp:extent cx="2756174" cy="4064000"/>
            <wp:effectExtent l="0" t="0" r="6350" b="0"/>
            <wp:docPr id="5" name="Picture 5" descr="C:\Users\GA Walker\Pictures\Screenshots\Screenshot (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 Walker\Pictures\Screenshots\Screenshot (17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8299" cy="4081879"/>
                    </a:xfrm>
                    <a:prstGeom prst="rect">
                      <a:avLst/>
                    </a:prstGeom>
                    <a:noFill/>
                    <a:ln>
                      <a:noFill/>
                    </a:ln>
                  </pic:spPr>
                </pic:pic>
              </a:graphicData>
            </a:graphic>
          </wp:inline>
        </w:drawing>
      </w:r>
      <w:r w:rsidR="009F4F7F">
        <w:t xml:space="preserve">   </w:t>
      </w:r>
      <w:r w:rsidRPr="00F5334F">
        <w:t xml:space="preserve"> </w:t>
      </w:r>
      <w:r w:rsidR="009F4F7F" w:rsidRPr="00F5334F">
        <w:rPr>
          <w:noProof/>
        </w:rPr>
        <w:drawing>
          <wp:inline distT="0" distB="0" distL="0" distR="0" wp14:anchorId="7078EEA9" wp14:editId="6A68AC13">
            <wp:extent cx="2418715" cy="3816350"/>
            <wp:effectExtent l="0" t="0" r="635" b="0"/>
            <wp:docPr id="6" name="Picture 6" descr="C:\Users\GA Walker\Pictures\Screenshots\Screenshot (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 Walker\Pictures\Screenshots\Screenshot (17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9811" cy="3849636"/>
                    </a:xfrm>
                    <a:prstGeom prst="rect">
                      <a:avLst/>
                    </a:prstGeom>
                    <a:noFill/>
                    <a:ln>
                      <a:noFill/>
                    </a:ln>
                  </pic:spPr>
                </pic:pic>
              </a:graphicData>
            </a:graphic>
          </wp:inline>
        </w:drawing>
      </w:r>
    </w:p>
    <w:p w:rsidR="009F4F7F" w:rsidRPr="009F4F7F" w:rsidRDefault="009F4F7F" w:rsidP="009F4F7F">
      <w:pPr>
        <w:pStyle w:val="NormalWeb"/>
        <w:rPr>
          <w:rFonts w:ascii="Arial Black" w:hAnsi="Arial Black"/>
          <w:sz w:val="20"/>
          <w:szCs w:val="20"/>
        </w:rPr>
      </w:pPr>
      <w:r>
        <w:rPr>
          <w:rFonts w:ascii="Arial Black" w:hAnsi="Arial Black"/>
          <w:sz w:val="20"/>
          <w:szCs w:val="20"/>
        </w:rPr>
        <w:t xml:space="preserve">ICMA DOCUMENTATION </w:t>
      </w:r>
    </w:p>
    <w:p w:rsidR="009F4F7F" w:rsidRDefault="009F4F7F" w:rsidP="009F4F7F">
      <w:pPr>
        <w:pStyle w:val="NormalWeb"/>
      </w:pPr>
      <w:r w:rsidRPr="009F4F7F">
        <w:rPr>
          <w:noProof/>
        </w:rPr>
        <w:drawing>
          <wp:inline distT="0" distB="0" distL="0" distR="0">
            <wp:extent cx="4965700" cy="3536267"/>
            <wp:effectExtent l="0" t="0" r="6350" b="7620"/>
            <wp:docPr id="7" name="Picture 7" descr="C:\Users\GA Walker\Pictures\Screenshots\Screenshot (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 Walker\Pictures\Screenshots\Screenshot (17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76618" cy="3544042"/>
                    </a:xfrm>
                    <a:prstGeom prst="rect">
                      <a:avLst/>
                    </a:prstGeom>
                    <a:noFill/>
                    <a:ln>
                      <a:noFill/>
                    </a:ln>
                  </pic:spPr>
                </pic:pic>
              </a:graphicData>
            </a:graphic>
          </wp:inline>
        </w:drawing>
      </w:r>
    </w:p>
    <w:p w:rsidR="009F4F7F" w:rsidRDefault="009F4F7F" w:rsidP="00461F8F">
      <w:pPr>
        <w:spacing w:before="100" w:beforeAutospacing="1" w:after="100" w:afterAutospacing="1" w:line="240" w:lineRule="auto"/>
        <w:rPr>
          <w:rFonts w:ascii="Times New Roman" w:eastAsia="Times New Roman" w:hAnsi="Times New Roman" w:cs="Times New Roman"/>
          <w:sz w:val="24"/>
          <w:szCs w:val="24"/>
          <w:lang w:eastAsia="en-GB"/>
        </w:rPr>
      </w:pPr>
    </w:p>
    <w:p w:rsidR="00461F8F" w:rsidRPr="00CE6E6E" w:rsidRDefault="00461F8F" w:rsidP="00461F8F">
      <w:pPr>
        <w:spacing w:before="100" w:beforeAutospacing="1" w:after="100" w:afterAutospacing="1" w:line="240" w:lineRule="auto"/>
        <w:rPr>
          <w:rFonts w:ascii="Arial Black" w:eastAsia="Times New Roman" w:hAnsi="Arial Black" w:cs="Times New Roman"/>
          <w:sz w:val="20"/>
          <w:szCs w:val="20"/>
          <w:lang w:eastAsia="en-GB"/>
        </w:rPr>
      </w:pPr>
      <w:r w:rsidRPr="00CE6E6E">
        <w:rPr>
          <w:rFonts w:ascii="Arial Black" w:eastAsia="Times New Roman" w:hAnsi="Arial Black" w:cs="Times New Roman"/>
          <w:b/>
          <w:sz w:val="20"/>
          <w:szCs w:val="20"/>
          <w:lang w:eastAsia="en-GB"/>
        </w:rPr>
        <w:t>REGIONAL</w:t>
      </w:r>
      <w:r w:rsidRPr="00CE6E6E">
        <w:rPr>
          <w:rFonts w:ascii="Arial Black" w:eastAsia="Times New Roman" w:hAnsi="Arial Black" w:cs="Times New Roman"/>
          <w:sz w:val="20"/>
          <w:szCs w:val="20"/>
          <w:lang w:eastAsia="en-GB"/>
        </w:rPr>
        <w:t xml:space="preserve"> STRUCTURE</w:t>
      </w:r>
    </w:p>
    <w:p w:rsidR="00461F8F" w:rsidRPr="009C21CE" w:rsidRDefault="00A92517" w:rsidP="00461F8F">
      <w:pPr>
        <w:spacing w:before="100" w:beforeAutospacing="1" w:after="100" w:afterAutospacing="1" w:line="240" w:lineRule="auto"/>
        <w:rPr>
          <w:rFonts w:ascii="Times New Roman" w:eastAsia="Times New Roman" w:hAnsi="Times New Roman" w:cs="Times New Roman"/>
          <w:sz w:val="20"/>
          <w:szCs w:val="20"/>
          <w:lang w:eastAsia="en-GB"/>
        </w:rPr>
      </w:pPr>
      <w:r w:rsidRPr="009C21CE">
        <w:rPr>
          <w:rFonts w:ascii="Times New Roman" w:eastAsia="Times New Roman" w:hAnsi="Times New Roman" w:cs="Times New Roman"/>
          <w:sz w:val="20"/>
          <w:szCs w:val="20"/>
          <w:lang w:eastAsia="en-GB"/>
        </w:rPr>
        <w:t>ICMA has a regional structure with each region having its own regional committee which deals with specific regional matters. The </w:t>
      </w:r>
      <w:hyperlink r:id="rId16" w:history="1">
        <w:r w:rsidRPr="009C21CE">
          <w:rPr>
            <w:rFonts w:ascii="Times New Roman" w:eastAsia="Times New Roman" w:hAnsi="Times New Roman" w:cs="Times New Roman"/>
            <w:sz w:val="20"/>
            <w:szCs w:val="20"/>
            <w:lang w:eastAsia="en-GB"/>
          </w:rPr>
          <w:t>committee of regional representatives (CRR)</w:t>
        </w:r>
      </w:hyperlink>
      <w:r w:rsidRPr="009C21CE">
        <w:rPr>
          <w:rFonts w:ascii="Times New Roman" w:eastAsia="Times New Roman" w:hAnsi="Times New Roman" w:cs="Times New Roman"/>
          <w:sz w:val="20"/>
          <w:szCs w:val="20"/>
          <w:lang w:eastAsia="en-GB"/>
        </w:rPr>
        <w:t xml:space="preserve"> consists of the chairs of the regional committees and reports to the ICMA Board</w:t>
      </w:r>
      <w:r w:rsidR="00461F8F" w:rsidRPr="009C21CE">
        <w:rPr>
          <w:rFonts w:ascii="Times New Roman" w:eastAsia="Times New Roman" w:hAnsi="Times New Roman" w:cs="Times New Roman"/>
          <w:sz w:val="20"/>
          <w:szCs w:val="20"/>
          <w:lang w:eastAsia="en-GB"/>
        </w:rPr>
        <w:t>:</w:t>
      </w:r>
    </w:p>
    <w:p w:rsidR="00461F8F" w:rsidRPr="009F4F7F" w:rsidRDefault="00284C8C" w:rsidP="00461F8F">
      <w:pPr>
        <w:pStyle w:val="ListParagraph"/>
        <w:numPr>
          <w:ilvl w:val="0"/>
          <w:numId w:val="3"/>
        </w:numPr>
        <w:spacing w:before="100" w:beforeAutospacing="1" w:after="100" w:afterAutospacing="1" w:line="240" w:lineRule="auto"/>
        <w:rPr>
          <w:rFonts w:ascii="Times New Roman" w:eastAsia="Times New Roman" w:hAnsi="Times New Roman" w:cs="Times New Roman"/>
          <w:b/>
          <w:sz w:val="20"/>
          <w:szCs w:val="20"/>
          <w:lang w:eastAsia="en-GB"/>
        </w:rPr>
      </w:pPr>
      <w:hyperlink r:id="rId17" w:history="1">
        <w:r w:rsidR="00461F8F" w:rsidRPr="009F4F7F">
          <w:rPr>
            <w:rFonts w:ascii="Times New Roman" w:eastAsia="Times New Roman" w:hAnsi="Times New Roman" w:cs="Times New Roman"/>
            <w:b/>
            <w:sz w:val="20"/>
            <w:szCs w:val="20"/>
            <w:lang w:eastAsia="en-GB"/>
          </w:rPr>
          <w:t>Africa</w:t>
        </w:r>
      </w:hyperlink>
    </w:p>
    <w:p w:rsidR="00461F8F" w:rsidRPr="009F4F7F" w:rsidRDefault="00284C8C" w:rsidP="00461F8F">
      <w:pPr>
        <w:numPr>
          <w:ilvl w:val="0"/>
          <w:numId w:val="3"/>
        </w:numPr>
        <w:spacing w:before="100" w:beforeAutospacing="1" w:after="100" w:afterAutospacing="1" w:line="240" w:lineRule="auto"/>
        <w:rPr>
          <w:rFonts w:ascii="Times New Roman" w:eastAsia="Times New Roman" w:hAnsi="Times New Roman" w:cs="Times New Roman"/>
          <w:b/>
          <w:sz w:val="20"/>
          <w:szCs w:val="20"/>
          <w:lang w:eastAsia="en-GB"/>
        </w:rPr>
      </w:pPr>
      <w:hyperlink r:id="rId18" w:history="1">
        <w:r w:rsidR="00461F8F" w:rsidRPr="009F4F7F">
          <w:rPr>
            <w:rFonts w:ascii="Times New Roman" w:eastAsia="Times New Roman" w:hAnsi="Times New Roman" w:cs="Times New Roman"/>
            <w:b/>
            <w:sz w:val="20"/>
            <w:szCs w:val="20"/>
            <w:lang w:eastAsia="en-GB"/>
          </w:rPr>
          <w:t>Asia Pacific</w:t>
        </w:r>
      </w:hyperlink>
    </w:p>
    <w:p w:rsidR="00461F8F" w:rsidRPr="009F4F7F" w:rsidRDefault="00284C8C" w:rsidP="00461F8F">
      <w:pPr>
        <w:numPr>
          <w:ilvl w:val="0"/>
          <w:numId w:val="3"/>
        </w:numPr>
        <w:spacing w:before="100" w:beforeAutospacing="1" w:after="100" w:afterAutospacing="1" w:line="240" w:lineRule="auto"/>
        <w:rPr>
          <w:rFonts w:ascii="Times New Roman" w:eastAsia="Times New Roman" w:hAnsi="Times New Roman" w:cs="Times New Roman"/>
          <w:b/>
          <w:sz w:val="20"/>
          <w:szCs w:val="20"/>
          <w:lang w:eastAsia="en-GB"/>
        </w:rPr>
      </w:pPr>
      <w:hyperlink r:id="rId19" w:history="1">
        <w:r w:rsidR="00461F8F" w:rsidRPr="009F4F7F">
          <w:rPr>
            <w:rFonts w:ascii="Times New Roman" w:eastAsia="Times New Roman" w:hAnsi="Times New Roman" w:cs="Times New Roman"/>
            <w:b/>
            <w:sz w:val="20"/>
            <w:szCs w:val="20"/>
            <w:lang w:eastAsia="en-GB"/>
          </w:rPr>
          <w:t>Austria, Eastern and South Eastern Europe</w:t>
        </w:r>
      </w:hyperlink>
      <w:r w:rsidR="00461F8F" w:rsidRPr="009F4F7F">
        <w:rPr>
          <w:rFonts w:ascii="Times New Roman" w:eastAsia="Times New Roman" w:hAnsi="Times New Roman" w:cs="Times New Roman"/>
          <w:b/>
          <w:i/>
          <w:iCs/>
          <w:sz w:val="20"/>
          <w:szCs w:val="20"/>
          <w:lang w:eastAsia="en-GB"/>
        </w:rPr>
        <w:t xml:space="preserve"> with regional chapters in Greece, Turkey, Cyprus and the Balkan States</w:t>
      </w:r>
    </w:p>
    <w:p w:rsidR="00461F8F" w:rsidRPr="009F4F7F" w:rsidRDefault="00284C8C" w:rsidP="00461F8F">
      <w:pPr>
        <w:numPr>
          <w:ilvl w:val="0"/>
          <w:numId w:val="3"/>
        </w:numPr>
        <w:spacing w:before="100" w:beforeAutospacing="1" w:after="100" w:afterAutospacing="1" w:line="240" w:lineRule="auto"/>
        <w:rPr>
          <w:rFonts w:ascii="Times New Roman" w:eastAsia="Times New Roman" w:hAnsi="Times New Roman" w:cs="Times New Roman"/>
          <w:b/>
          <w:sz w:val="20"/>
          <w:szCs w:val="20"/>
          <w:lang w:eastAsia="en-GB"/>
        </w:rPr>
      </w:pPr>
      <w:hyperlink r:id="rId20" w:history="1">
        <w:r w:rsidR="00461F8F" w:rsidRPr="009F4F7F">
          <w:rPr>
            <w:rFonts w:ascii="Times New Roman" w:eastAsia="Times New Roman" w:hAnsi="Times New Roman" w:cs="Times New Roman"/>
            <w:b/>
            <w:sz w:val="20"/>
            <w:szCs w:val="20"/>
            <w:lang w:eastAsia="en-GB"/>
          </w:rPr>
          <w:t>Belgium</w:t>
        </w:r>
      </w:hyperlink>
    </w:p>
    <w:p w:rsidR="00461F8F" w:rsidRPr="009F4F7F" w:rsidRDefault="00284C8C" w:rsidP="00461F8F">
      <w:pPr>
        <w:numPr>
          <w:ilvl w:val="0"/>
          <w:numId w:val="3"/>
        </w:numPr>
        <w:spacing w:before="100" w:beforeAutospacing="1" w:after="100" w:afterAutospacing="1" w:line="240" w:lineRule="auto"/>
        <w:rPr>
          <w:rFonts w:ascii="Times New Roman" w:eastAsia="Times New Roman" w:hAnsi="Times New Roman" w:cs="Times New Roman"/>
          <w:b/>
          <w:sz w:val="20"/>
          <w:szCs w:val="20"/>
          <w:lang w:eastAsia="en-GB"/>
        </w:rPr>
      </w:pPr>
      <w:hyperlink r:id="rId21" w:history="1">
        <w:r w:rsidR="00461F8F" w:rsidRPr="009F4F7F">
          <w:rPr>
            <w:rFonts w:ascii="Times New Roman" w:eastAsia="Times New Roman" w:hAnsi="Times New Roman" w:cs="Times New Roman"/>
            <w:b/>
            <w:sz w:val="20"/>
            <w:szCs w:val="20"/>
            <w:lang w:eastAsia="en-GB"/>
          </w:rPr>
          <w:t>France and Monaco</w:t>
        </w:r>
      </w:hyperlink>
    </w:p>
    <w:p w:rsidR="00461F8F" w:rsidRPr="009F4F7F" w:rsidRDefault="00284C8C" w:rsidP="00461F8F">
      <w:pPr>
        <w:numPr>
          <w:ilvl w:val="0"/>
          <w:numId w:val="3"/>
        </w:numPr>
        <w:spacing w:before="100" w:beforeAutospacing="1" w:after="100" w:afterAutospacing="1" w:line="240" w:lineRule="auto"/>
        <w:rPr>
          <w:rFonts w:ascii="Times New Roman" w:eastAsia="Times New Roman" w:hAnsi="Times New Roman" w:cs="Times New Roman"/>
          <w:b/>
          <w:sz w:val="20"/>
          <w:szCs w:val="20"/>
          <w:lang w:eastAsia="en-GB"/>
        </w:rPr>
      </w:pPr>
      <w:hyperlink r:id="rId22" w:history="1">
        <w:r w:rsidR="00461F8F" w:rsidRPr="009F4F7F">
          <w:rPr>
            <w:rFonts w:ascii="Times New Roman" w:eastAsia="Times New Roman" w:hAnsi="Times New Roman" w:cs="Times New Roman"/>
            <w:b/>
            <w:sz w:val="20"/>
            <w:szCs w:val="20"/>
            <w:lang w:eastAsia="en-GB"/>
          </w:rPr>
          <w:t>Germany</w:t>
        </w:r>
      </w:hyperlink>
    </w:p>
    <w:p w:rsidR="00461F8F" w:rsidRPr="009F4F7F" w:rsidRDefault="00284C8C" w:rsidP="00461F8F">
      <w:pPr>
        <w:numPr>
          <w:ilvl w:val="0"/>
          <w:numId w:val="3"/>
        </w:numPr>
        <w:spacing w:before="100" w:beforeAutospacing="1" w:after="100" w:afterAutospacing="1" w:line="240" w:lineRule="auto"/>
        <w:rPr>
          <w:rFonts w:ascii="Times New Roman" w:eastAsia="Times New Roman" w:hAnsi="Times New Roman" w:cs="Times New Roman"/>
          <w:b/>
          <w:sz w:val="20"/>
          <w:szCs w:val="20"/>
          <w:lang w:eastAsia="en-GB"/>
        </w:rPr>
      </w:pPr>
      <w:hyperlink r:id="rId23" w:history="1">
        <w:r w:rsidR="00461F8F" w:rsidRPr="009F4F7F">
          <w:rPr>
            <w:rFonts w:ascii="Times New Roman" w:eastAsia="Times New Roman" w:hAnsi="Times New Roman" w:cs="Times New Roman"/>
            <w:b/>
            <w:sz w:val="20"/>
            <w:szCs w:val="20"/>
            <w:lang w:eastAsia="en-GB"/>
          </w:rPr>
          <w:t>Iberia</w:t>
        </w:r>
      </w:hyperlink>
    </w:p>
    <w:p w:rsidR="00461F8F" w:rsidRPr="009F4F7F" w:rsidRDefault="00284C8C" w:rsidP="00461F8F">
      <w:pPr>
        <w:numPr>
          <w:ilvl w:val="0"/>
          <w:numId w:val="3"/>
        </w:numPr>
        <w:spacing w:before="100" w:beforeAutospacing="1" w:after="100" w:afterAutospacing="1" w:line="240" w:lineRule="auto"/>
        <w:rPr>
          <w:rFonts w:ascii="Times New Roman" w:eastAsia="Times New Roman" w:hAnsi="Times New Roman" w:cs="Times New Roman"/>
          <w:b/>
          <w:sz w:val="20"/>
          <w:szCs w:val="20"/>
          <w:lang w:eastAsia="en-GB"/>
        </w:rPr>
      </w:pPr>
      <w:hyperlink r:id="rId24" w:history="1">
        <w:r w:rsidR="00461F8F" w:rsidRPr="009F4F7F">
          <w:rPr>
            <w:rFonts w:ascii="Times New Roman" w:eastAsia="Times New Roman" w:hAnsi="Times New Roman" w:cs="Times New Roman"/>
            <w:b/>
            <w:sz w:val="20"/>
            <w:szCs w:val="20"/>
            <w:lang w:eastAsia="en-GB"/>
          </w:rPr>
          <w:t>Ireland</w:t>
        </w:r>
      </w:hyperlink>
    </w:p>
    <w:p w:rsidR="00461F8F" w:rsidRPr="009F4F7F" w:rsidRDefault="00284C8C" w:rsidP="00461F8F">
      <w:pPr>
        <w:numPr>
          <w:ilvl w:val="0"/>
          <w:numId w:val="3"/>
        </w:numPr>
        <w:spacing w:before="100" w:beforeAutospacing="1" w:after="100" w:afterAutospacing="1" w:line="240" w:lineRule="auto"/>
        <w:rPr>
          <w:rFonts w:ascii="Times New Roman" w:eastAsia="Times New Roman" w:hAnsi="Times New Roman" w:cs="Times New Roman"/>
          <w:b/>
          <w:sz w:val="20"/>
          <w:szCs w:val="20"/>
          <w:lang w:eastAsia="en-GB"/>
        </w:rPr>
      </w:pPr>
      <w:hyperlink r:id="rId25" w:history="1">
        <w:r w:rsidR="00461F8F" w:rsidRPr="009F4F7F">
          <w:rPr>
            <w:rFonts w:ascii="Times New Roman" w:eastAsia="Times New Roman" w:hAnsi="Times New Roman" w:cs="Times New Roman"/>
            <w:b/>
            <w:sz w:val="20"/>
            <w:szCs w:val="20"/>
            <w:lang w:eastAsia="en-GB"/>
          </w:rPr>
          <w:t>Italy</w:t>
        </w:r>
      </w:hyperlink>
    </w:p>
    <w:p w:rsidR="00461F8F" w:rsidRPr="009F4F7F" w:rsidRDefault="00284C8C" w:rsidP="00461F8F">
      <w:pPr>
        <w:numPr>
          <w:ilvl w:val="0"/>
          <w:numId w:val="3"/>
        </w:numPr>
        <w:spacing w:before="100" w:beforeAutospacing="1" w:after="100" w:afterAutospacing="1" w:line="240" w:lineRule="auto"/>
        <w:rPr>
          <w:rFonts w:ascii="Times New Roman" w:eastAsia="Times New Roman" w:hAnsi="Times New Roman" w:cs="Times New Roman"/>
          <w:b/>
          <w:sz w:val="20"/>
          <w:szCs w:val="20"/>
          <w:lang w:eastAsia="en-GB"/>
        </w:rPr>
      </w:pPr>
      <w:hyperlink r:id="rId26" w:history="1">
        <w:r w:rsidR="00461F8F" w:rsidRPr="009F4F7F">
          <w:rPr>
            <w:rFonts w:ascii="Times New Roman" w:eastAsia="Times New Roman" w:hAnsi="Times New Roman" w:cs="Times New Roman"/>
            <w:b/>
            <w:sz w:val="20"/>
            <w:szCs w:val="20"/>
            <w:lang w:eastAsia="en-GB"/>
          </w:rPr>
          <w:t>Luxembourg</w:t>
        </w:r>
      </w:hyperlink>
    </w:p>
    <w:p w:rsidR="00461F8F" w:rsidRPr="009F4F7F" w:rsidRDefault="00284C8C" w:rsidP="00461F8F">
      <w:pPr>
        <w:numPr>
          <w:ilvl w:val="0"/>
          <w:numId w:val="3"/>
        </w:numPr>
        <w:spacing w:before="100" w:beforeAutospacing="1" w:after="100" w:afterAutospacing="1" w:line="240" w:lineRule="auto"/>
        <w:rPr>
          <w:rFonts w:ascii="Times New Roman" w:eastAsia="Times New Roman" w:hAnsi="Times New Roman" w:cs="Times New Roman"/>
          <w:b/>
          <w:sz w:val="20"/>
          <w:szCs w:val="20"/>
          <w:lang w:eastAsia="en-GB"/>
        </w:rPr>
      </w:pPr>
      <w:hyperlink r:id="rId27" w:history="1">
        <w:r w:rsidR="00461F8F" w:rsidRPr="009F4F7F">
          <w:rPr>
            <w:rFonts w:ascii="Times New Roman" w:eastAsia="Times New Roman" w:hAnsi="Times New Roman" w:cs="Times New Roman"/>
            <w:b/>
            <w:sz w:val="20"/>
            <w:szCs w:val="20"/>
            <w:lang w:eastAsia="en-GB"/>
          </w:rPr>
          <w:t>Middle East and North Africa</w:t>
        </w:r>
      </w:hyperlink>
    </w:p>
    <w:p w:rsidR="00461F8F" w:rsidRPr="009F4F7F" w:rsidRDefault="00284C8C" w:rsidP="00461F8F">
      <w:pPr>
        <w:numPr>
          <w:ilvl w:val="0"/>
          <w:numId w:val="3"/>
        </w:numPr>
        <w:spacing w:before="100" w:beforeAutospacing="1" w:after="100" w:afterAutospacing="1" w:line="240" w:lineRule="auto"/>
        <w:rPr>
          <w:rFonts w:ascii="Times New Roman" w:eastAsia="Times New Roman" w:hAnsi="Times New Roman" w:cs="Times New Roman"/>
          <w:b/>
          <w:sz w:val="20"/>
          <w:szCs w:val="20"/>
          <w:lang w:eastAsia="en-GB"/>
        </w:rPr>
      </w:pPr>
      <w:hyperlink r:id="rId28" w:history="1">
        <w:r w:rsidR="00461F8F" w:rsidRPr="009F4F7F">
          <w:rPr>
            <w:rFonts w:ascii="Times New Roman" w:eastAsia="Times New Roman" w:hAnsi="Times New Roman" w:cs="Times New Roman"/>
            <w:b/>
            <w:sz w:val="20"/>
            <w:szCs w:val="20"/>
            <w:lang w:eastAsia="en-GB"/>
          </w:rPr>
          <w:t>Netherlands</w:t>
        </w:r>
      </w:hyperlink>
    </w:p>
    <w:p w:rsidR="00461F8F" w:rsidRPr="009F4F7F" w:rsidRDefault="00284C8C" w:rsidP="00461F8F">
      <w:pPr>
        <w:numPr>
          <w:ilvl w:val="0"/>
          <w:numId w:val="3"/>
        </w:numPr>
        <w:spacing w:before="100" w:beforeAutospacing="1" w:after="100" w:afterAutospacing="1" w:line="240" w:lineRule="auto"/>
        <w:rPr>
          <w:rFonts w:ascii="Times New Roman" w:eastAsia="Times New Roman" w:hAnsi="Times New Roman" w:cs="Times New Roman"/>
          <w:b/>
          <w:sz w:val="20"/>
          <w:szCs w:val="20"/>
          <w:lang w:eastAsia="en-GB"/>
        </w:rPr>
      </w:pPr>
      <w:hyperlink r:id="rId29" w:history="1">
        <w:r w:rsidR="00461F8F" w:rsidRPr="009F4F7F">
          <w:rPr>
            <w:rFonts w:ascii="Times New Roman" w:eastAsia="Times New Roman" w:hAnsi="Times New Roman" w:cs="Times New Roman"/>
            <w:b/>
            <w:sz w:val="20"/>
            <w:szCs w:val="20"/>
            <w:lang w:eastAsia="en-GB"/>
          </w:rPr>
          <w:t>Nordic</w:t>
        </w:r>
      </w:hyperlink>
    </w:p>
    <w:p w:rsidR="00461F8F" w:rsidRPr="009F4F7F" w:rsidRDefault="00461F8F" w:rsidP="00461F8F">
      <w:pPr>
        <w:numPr>
          <w:ilvl w:val="0"/>
          <w:numId w:val="3"/>
        </w:numPr>
        <w:spacing w:before="100" w:beforeAutospacing="1" w:after="100" w:afterAutospacing="1" w:line="240" w:lineRule="auto"/>
        <w:rPr>
          <w:rFonts w:ascii="Times New Roman" w:eastAsia="Times New Roman" w:hAnsi="Times New Roman" w:cs="Times New Roman"/>
          <w:b/>
          <w:sz w:val="20"/>
          <w:szCs w:val="20"/>
          <w:lang w:eastAsia="en-GB"/>
        </w:rPr>
      </w:pPr>
      <w:r w:rsidRPr="009F4F7F">
        <w:rPr>
          <w:rFonts w:ascii="Times New Roman" w:eastAsia="Times New Roman" w:hAnsi="Times New Roman" w:cs="Times New Roman"/>
          <w:b/>
          <w:sz w:val="20"/>
          <w:szCs w:val="20"/>
          <w:lang w:eastAsia="en-GB"/>
        </w:rPr>
        <w:t>Russia and other CIS countries - Suspended</w:t>
      </w:r>
    </w:p>
    <w:p w:rsidR="00461F8F" w:rsidRPr="009F4F7F" w:rsidRDefault="00284C8C" w:rsidP="00461F8F">
      <w:pPr>
        <w:numPr>
          <w:ilvl w:val="0"/>
          <w:numId w:val="3"/>
        </w:numPr>
        <w:spacing w:before="100" w:beforeAutospacing="1" w:after="100" w:afterAutospacing="1" w:line="240" w:lineRule="auto"/>
        <w:rPr>
          <w:rFonts w:ascii="Times New Roman" w:eastAsia="Times New Roman" w:hAnsi="Times New Roman" w:cs="Times New Roman"/>
          <w:b/>
          <w:sz w:val="20"/>
          <w:szCs w:val="20"/>
          <w:lang w:eastAsia="en-GB"/>
        </w:rPr>
      </w:pPr>
      <w:hyperlink r:id="rId30" w:history="1">
        <w:r w:rsidR="00461F8F" w:rsidRPr="009F4F7F">
          <w:rPr>
            <w:rFonts w:ascii="Times New Roman" w:eastAsia="Times New Roman" w:hAnsi="Times New Roman" w:cs="Times New Roman"/>
            <w:b/>
            <w:sz w:val="20"/>
            <w:szCs w:val="20"/>
            <w:lang w:eastAsia="en-GB"/>
          </w:rPr>
          <w:t>Switzerland and Liechtenstein</w:t>
        </w:r>
      </w:hyperlink>
    </w:p>
    <w:p w:rsidR="00461F8F" w:rsidRPr="00A92517" w:rsidRDefault="00284C8C" w:rsidP="00461F8F">
      <w:pPr>
        <w:numPr>
          <w:ilvl w:val="0"/>
          <w:numId w:val="3"/>
        </w:numPr>
        <w:spacing w:before="100" w:beforeAutospacing="1" w:after="100" w:afterAutospacing="1" w:line="240" w:lineRule="auto"/>
        <w:rPr>
          <w:rFonts w:ascii="Times New Roman" w:eastAsia="Times New Roman" w:hAnsi="Times New Roman" w:cs="Times New Roman"/>
          <w:b/>
          <w:sz w:val="20"/>
          <w:szCs w:val="20"/>
          <w:lang w:eastAsia="en-GB"/>
        </w:rPr>
      </w:pPr>
      <w:hyperlink r:id="rId31" w:history="1">
        <w:r w:rsidR="00461F8F" w:rsidRPr="009F4F7F">
          <w:rPr>
            <w:rFonts w:ascii="Times New Roman" w:eastAsia="Times New Roman" w:hAnsi="Times New Roman" w:cs="Times New Roman"/>
            <w:b/>
            <w:sz w:val="20"/>
            <w:szCs w:val="20"/>
            <w:lang w:eastAsia="en-GB"/>
          </w:rPr>
          <w:t>United Kingdom and the Americas</w:t>
        </w:r>
      </w:hyperlink>
    </w:p>
    <w:p w:rsidR="00692B7B" w:rsidRPr="00CE6E6E" w:rsidRDefault="00692B7B" w:rsidP="00692B7B">
      <w:pPr>
        <w:pStyle w:val="NormalWeb"/>
        <w:rPr>
          <w:rFonts w:ascii="Arial Black" w:hAnsi="Arial Black"/>
          <w:sz w:val="20"/>
          <w:szCs w:val="20"/>
        </w:rPr>
      </w:pPr>
      <w:r w:rsidRPr="00CE6E6E">
        <w:rPr>
          <w:rFonts w:ascii="Arial Black" w:hAnsi="Arial Black"/>
          <w:sz w:val="20"/>
          <w:szCs w:val="20"/>
        </w:rPr>
        <w:t>HISTORY</w:t>
      </w:r>
      <w:r w:rsidR="002075D8" w:rsidRPr="00CE6E6E">
        <w:rPr>
          <w:rFonts w:ascii="Arial Black" w:hAnsi="Arial Black"/>
          <w:sz w:val="20"/>
          <w:szCs w:val="20"/>
        </w:rPr>
        <w:t xml:space="preserve"> ICMA </w:t>
      </w:r>
    </w:p>
    <w:p w:rsidR="009C21CE" w:rsidRDefault="00AD48F9" w:rsidP="009F4F7F">
      <w:pPr>
        <w:pStyle w:val="NormalWeb"/>
        <w:rPr>
          <w:sz w:val="20"/>
          <w:szCs w:val="20"/>
        </w:rPr>
      </w:pPr>
      <w:r w:rsidRPr="00D14EC5">
        <w:rPr>
          <w:b/>
          <w:sz w:val="20"/>
          <w:szCs w:val="20"/>
        </w:rPr>
        <w:t>1968</w:t>
      </w:r>
      <w:r w:rsidRPr="00AD48F9">
        <w:rPr>
          <w:sz w:val="20"/>
          <w:szCs w:val="20"/>
        </w:rPr>
        <w:br/>
        <w:t>A meeting of the main firms active in the Eurobond market agrees to form the Association of International Bond Dealers (AIBD).</w:t>
      </w:r>
      <w:r w:rsidRPr="00AD48F9">
        <w:rPr>
          <w:sz w:val="20"/>
          <w:szCs w:val="20"/>
        </w:rPr>
        <w:br/>
      </w:r>
      <w:r w:rsidRPr="00AD48F9">
        <w:rPr>
          <w:sz w:val="20"/>
          <w:szCs w:val="20"/>
        </w:rPr>
        <w:br/>
      </w:r>
      <w:r w:rsidRPr="00D14EC5">
        <w:rPr>
          <w:b/>
          <w:sz w:val="20"/>
          <w:szCs w:val="20"/>
        </w:rPr>
        <w:t>1969</w:t>
      </w:r>
      <w:r w:rsidRPr="00AD48F9">
        <w:rPr>
          <w:sz w:val="20"/>
          <w:szCs w:val="20"/>
        </w:rPr>
        <w:br/>
        <w:t>The “Association of International Bond Dealers” (AIBD) is established as an association under Swiss law in February 1969 in Zurich</w:t>
      </w:r>
      <w:r w:rsidRPr="00AD48F9">
        <w:rPr>
          <w:sz w:val="20"/>
          <w:szCs w:val="20"/>
        </w:rPr>
        <w:br/>
      </w:r>
      <w:r w:rsidRPr="00AD48F9">
        <w:rPr>
          <w:sz w:val="20"/>
          <w:szCs w:val="20"/>
        </w:rPr>
        <w:br/>
      </w:r>
      <w:r w:rsidRPr="00D14EC5">
        <w:rPr>
          <w:b/>
          <w:sz w:val="20"/>
          <w:szCs w:val="20"/>
        </w:rPr>
        <w:t>1970s</w:t>
      </w:r>
      <w:r w:rsidRPr="00AD48F9">
        <w:rPr>
          <w:sz w:val="20"/>
          <w:szCs w:val="20"/>
        </w:rPr>
        <w:br/>
        <w:t>AIBD oversees the formation of a series of rules and recommendations governing trading and settlement in the international securities market; establishes a regional structure to reflect the geographic composition of the Association’s global membership; creates the AIBD Certificate and the Operations Certificate Programme (OCP).</w:t>
      </w:r>
      <w:r w:rsidRPr="00AD48F9">
        <w:rPr>
          <w:sz w:val="20"/>
          <w:szCs w:val="20"/>
        </w:rPr>
        <w:br/>
      </w:r>
      <w:r w:rsidRPr="00AD48F9">
        <w:rPr>
          <w:sz w:val="20"/>
          <w:szCs w:val="20"/>
        </w:rPr>
        <w:br/>
      </w:r>
      <w:r w:rsidRPr="00D14EC5">
        <w:rPr>
          <w:b/>
          <w:sz w:val="20"/>
          <w:szCs w:val="20"/>
        </w:rPr>
        <w:t>1980s</w:t>
      </w:r>
      <w:r w:rsidRPr="00AD48F9">
        <w:rPr>
          <w:sz w:val="20"/>
          <w:szCs w:val="20"/>
        </w:rPr>
        <w:br/>
        <w:t>In the UK AIBD is approved as an “International Securities Self-Regulating Organisation” (ISSRO) and recognised as a “Designated Investment Exchange” (DIE). AIBD Ltd., the Association’s wholly owned subsidiary, opens in London to provide data services to the market, and in 1989 AIBD launches TRAX, a transaction matching, confirmation and regulatory reporting system.</w:t>
      </w:r>
      <w:r w:rsidRPr="00AD48F9">
        <w:rPr>
          <w:sz w:val="20"/>
          <w:szCs w:val="20"/>
        </w:rPr>
        <w:br/>
      </w:r>
      <w:r w:rsidRPr="00AD48F9">
        <w:rPr>
          <w:sz w:val="20"/>
          <w:szCs w:val="20"/>
        </w:rPr>
        <w:br/>
      </w:r>
      <w:r w:rsidRPr="00D14EC5">
        <w:rPr>
          <w:b/>
          <w:sz w:val="20"/>
          <w:szCs w:val="20"/>
        </w:rPr>
        <w:t>1990s</w:t>
      </w:r>
      <w:r w:rsidRPr="00AD48F9">
        <w:rPr>
          <w:sz w:val="20"/>
          <w:szCs w:val="20"/>
        </w:rPr>
        <w:br/>
        <w:t>The AIBD Centre is established at the University of Reading in December 1990. The General Certificate Programme (GCP) replaces the AIBD certificate. The Global Master Repurchase Agreement (GMRA) is launched in 1992.</w:t>
      </w:r>
      <w:r w:rsidRPr="00AD48F9">
        <w:rPr>
          <w:sz w:val="20"/>
          <w:szCs w:val="20"/>
        </w:rPr>
        <w:br/>
      </w:r>
      <w:r w:rsidRPr="00AD48F9">
        <w:rPr>
          <w:sz w:val="20"/>
          <w:szCs w:val="20"/>
        </w:rPr>
        <w:br/>
      </w:r>
      <w:r w:rsidR="00D14EC5" w:rsidRPr="00D14EC5">
        <w:rPr>
          <w:b/>
          <w:sz w:val="20"/>
          <w:szCs w:val="20"/>
        </w:rPr>
        <w:t>1992</w:t>
      </w:r>
      <w:r w:rsidR="00D14EC5">
        <w:rPr>
          <w:sz w:val="20"/>
          <w:szCs w:val="20"/>
        </w:rPr>
        <w:t xml:space="preserve"> </w:t>
      </w:r>
      <w:r w:rsidRPr="00D14EC5">
        <w:rPr>
          <w:b/>
          <w:sz w:val="20"/>
          <w:szCs w:val="20"/>
        </w:rPr>
        <w:t>January</w:t>
      </w:r>
      <w:r w:rsidRPr="00AD48F9">
        <w:rPr>
          <w:sz w:val="20"/>
          <w:szCs w:val="20"/>
        </w:rPr>
        <w:t xml:space="preserve"> </w:t>
      </w:r>
      <w:r w:rsidRPr="00D14EC5">
        <w:rPr>
          <w:b/>
          <w:sz w:val="20"/>
          <w:szCs w:val="20"/>
        </w:rPr>
        <w:t>1</w:t>
      </w:r>
      <w:r w:rsidR="00D14EC5">
        <w:rPr>
          <w:b/>
          <w:sz w:val="20"/>
          <w:szCs w:val="20"/>
        </w:rPr>
        <w:t xml:space="preserve">  </w:t>
      </w:r>
      <w:r w:rsidR="00D14EC5">
        <w:rPr>
          <w:b/>
          <w:sz w:val="20"/>
          <w:szCs w:val="20"/>
        </w:rPr>
        <w:tab/>
      </w:r>
      <w:r w:rsidR="00D14EC5">
        <w:rPr>
          <w:b/>
          <w:sz w:val="20"/>
          <w:szCs w:val="20"/>
        </w:rPr>
        <w:tab/>
      </w:r>
      <w:r w:rsidR="00D14EC5">
        <w:rPr>
          <w:b/>
          <w:sz w:val="20"/>
          <w:szCs w:val="20"/>
        </w:rPr>
        <w:tab/>
      </w:r>
      <w:r w:rsidR="00D14EC5">
        <w:rPr>
          <w:b/>
          <w:sz w:val="20"/>
          <w:szCs w:val="20"/>
        </w:rPr>
        <w:tab/>
      </w:r>
      <w:r w:rsidR="00D14EC5">
        <w:rPr>
          <w:b/>
          <w:sz w:val="20"/>
          <w:szCs w:val="20"/>
        </w:rPr>
        <w:tab/>
      </w:r>
      <w:r w:rsidR="00D14EC5">
        <w:rPr>
          <w:b/>
          <w:sz w:val="20"/>
          <w:szCs w:val="20"/>
        </w:rPr>
        <w:tab/>
      </w:r>
      <w:r w:rsidR="00D14EC5">
        <w:rPr>
          <w:b/>
          <w:sz w:val="20"/>
          <w:szCs w:val="20"/>
        </w:rPr>
        <w:tab/>
      </w:r>
      <w:r w:rsidR="00D14EC5">
        <w:rPr>
          <w:b/>
          <w:sz w:val="20"/>
          <w:szCs w:val="20"/>
        </w:rPr>
        <w:tab/>
      </w:r>
      <w:r w:rsidR="00D14EC5">
        <w:rPr>
          <w:b/>
          <w:sz w:val="20"/>
          <w:szCs w:val="20"/>
        </w:rPr>
        <w:tab/>
      </w:r>
      <w:r w:rsidR="00D14EC5">
        <w:rPr>
          <w:b/>
          <w:sz w:val="20"/>
          <w:szCs w:val="20"/>
        </w:rPr>
        <w:tab/>
      </w:r>
      <w:r w:rsidR="00D14EC5">
        <w:rPr>
          <w:b/>
          <w:sz w:val="20"/>
          <w:szCs w:val="20"/>
        </w:rPr>
        <w:tab/>
        <w:t xml:space="preserve"> </w:t>
      </w:r>
      <w:r w:rsidRPr="00AD48F9">
        <w:rPr>
          <w:sz w:val="20"/>
          <w:szCs w:val="20"/>
        </w:rPr>
        <w:t>AIBD changes its name to “International Securities Market Association” (ISMA). The Swiss Federal Banking Commission, the predecessor of the Swiss Financial Market Supervisory Authority FINMA, recognises ISMA as an “institution similar to an exchange” and subjects it in part to the Swiss Federal Act on Stock Exchanges and Securities Trading (SESTA) in 1998. In this capacity and to the extent of its subjection to SESTA, ISMA has been subject to supervision until December 31, 2016.</w:t>
      </w:r>
      <w:r w:rsidRPr="00AD48F9">
        <w:rPr>
          <w:sz w:val="20"/>
          <w:szCs w:val="20"/>
        </w:rPr>
        <w:br/>
      </w:r>
      <w:r w:rsidRPr="00AD48F9">
        <w:rPr>
          <w:sz w:val="20"/>
          <w:szCs w:val="20"/>
        </w:rPr>
        <w:br/>
      </w:r>
      <w:r w:rsidRPr="00D14EC5">
        <w:rPr>
          <w:b/>
          <w:sz w:val="20"/>
          <w:szCs w:val="20"/>
        </w:rPr>
        <w:t>2000 to 2003</w:t>
      </w:r>
      <w:r w:rsidRPr="00AD48F9">
        <w:rPr>
          <w:sz w:val="20"/>
          <w:szCs w:val="20"/>
        </w:rPr>
        <w:br/>
        <w:t xml:space="preserve">ISMA maintains its ISSRO status under the UK Financial Services and Markets Act 2000. The International Repo Council is formed under the Association’s auspices in 2000. ISMA launches </w:t>
      </w:r>
      <w:proofErr w:type="spellStart"/>
      <w:r w:rsidRPr="00AD48F9">
        <w:rPr>
          <w:sz w:val="20"/>
          <w:szCs w:val="20"/>
        </w:rPr>
        <w:t>Coredeal</w:t>
      </w:r>
      <w:proofErr w:type="spellEnd"/>
      <w:r w:rsidRPr="00AD48F9">
        <w:rPr>
          <w:sz w:val="20"/>
          <w:szCs w:val="20"/>
        </w:rPr>
        <w:t>, a screen based order-driven exchange recognised by the FSA as an investment exchange in May 2000, and sold to MTS in November 2001. First international regulatory consultant employed in 2002.</w:t>
      </w:r>
      <w:r w:rsidRPr="00AD48F9">
        <w:rPr>
          <w:sz w:val="20"/>
          <w:szCs w:val="20"/>
        </w:rPr>
        <w:br/>
      </w:r>
      <w:r w:rsidRPr="00AD48F9">
        <w:rPr>
          <w:b/>
          <w:bCs/>
          <w:sz w:val="20"/>
          <w:szCs w:val="20"/>
        </w:rPr>
        <w:br/>
      </w:r>
      <w:r w:rsidRPr="002404D2">
        <w:rPr>
          <w:b/>
          <w:sz w:val="20"/>
          <w:szCs w:val="20"/>
        </w:rPr>
        <w:t>2005</w:t>
      </w:r>
      <w:r w:rsidRPr="00AD48F9">
        <w:rPr>
          <w:sz w:val="20"/>
          <w:szCs w:val="20"/>
        </w:rPr>
        <w:br/>
        <w:t>Effective July 1, 2005 ISMA and the International Primary Market Association (IPMA) merge. As a result, the Association changes its name to “International Capital Market Association” (ICMA). The Market Practice and Regulatory Policy team is built up to provide services and expertise for members.</w:t>
      </w:r>
      <w:r w:rsidRPr="00AD48F9">
        <w:rPr>
          <w:sz w:val="20"/>
          <w:szCs w:val="20"/>
        </w:rPr>
        <w:br/>
      </w:r>
      <w:r w:rsidRPr="00AD48F9">
        <w:rPr>
          <w:sz w:val="20"/>
          <w:szCs w:val="20"/>
        </w:rPr>
        <w:br/>
      </w:r>
      <w:r w:rsidRPr="002404D2">
        <w:rPr>
          <w:b/>
          <w:sz w:val="20"/>
          <w:szCs w:val="20"/>
        </w:rPr>
        <w:t>2006</w:t>
      </w:r>
      <w:r w:rsidRPr="00AD48F9">
        <w:rPr>
          <w:sz w:val="20"/>
          <w:szCs w:val="20"/>
        </w:rPr>
        <w:br/>
        <w:t>ICMA adopts a new governance and management structure which clearly defines the board’s supervisory role on the one hand and the executive committee’s responsibility for the Association’s day-to-day management on the other.</w:t>
      </w:r>
      <w:r w:rsidRPr="00AD48F9">
        <w:rPr>
          <w:sz w:val="20"/>
          <w:szCs w:val="20"/>
        </w:rPr>
        <w:br/>
      </w:r>
      <w:r w:rsidRPr="00AD48F9">
        <w:rPr>
          <w:sz w:val="20"/>
          <w:szCs w:val="20"/>
        </w:rPr>
        <w:br/>
      </w:r>
      <w:r w:rsidRPr="002404D2">
        <w:rPr>
          <w:b/>
          <w:sz w:val="20"/>
          <w:szCs w:val="20"/>
        </w:rPr>
        <w:t>2007</w:t>
      </w:r>
      <w:r w:rsidRPr="00AD48F9">
        <w:rPr>
          <w:sz w:val="20"/>
          <w:szCs w:val="20"/>
        </w:rPr>
        <w:br/>
        <w:t>ICMA develops close working relationships with other associations, pursuing informal co-operation on regulatory policy work, co-operates with local trade associations worldwide and integrates activities of the Euro Debt Market Association (AMTE) which are now carried out by the SVT market committee within ICMA’s framework.</w:t>
      </w:r>
      <w:r w:rsidRPr="00AD48F9">
        <w:rPr>
          <w:sz w:val="20"/>
          <w:szCs w:val="20"/>
        </w:rPr>
        <w:br/>
      </w:r>
      <w:r w:rsidRPr="00AD48F9">
        <w:rPr>
          <w:sz w:val="20"/>
          <w:szCs w:val="20"/>
        </w:rPr>
        <w:br/>
        <w:t>ICMA extends membership to asset and fund managers as well as insurance companies and opens associate membership to professional advisers (such as law firms and accountants). A membership categorisation structure is introduced.</w:t>
      </w:r>
      <w:r w:rsidRPr="00AD48F9">
        <w:rPr>
          <w:sz w:val="20"/>
          <w:szCs w:val="20"/>
        </w:rPr>
        <w:br/>
        <w:t>ICMA Centre facilities are extended, accommodating an increase of 50% in physical capacity, and ICMA Executive Education is expanded with the launch of the Financial Markets Foundation Course (FMFC).</w:t>
      </w:r>
      <w:r w:rsidRPr="00AD48F9">
        <w:rPr>
          <w:sz w:val="20"/>
          <w:szCs w:val="20"/>
        </w:rPr>
        <w:br/>
      </w:r>
      <w:r w:rsidRPr="00AD48F9">
        <w:rPr>
          <w:sz w:val="20"/>
          <w:szCs w:val="20"/>
        </w:rPr>
        <w:br/>
      </w:r>
      <w:r w:rsidRPr="002404D2">
        <w:rPr>
          <w:b/>
          <w:sz w:val="20"/>
          <w:szCs w:val="20"/>
        </w:rPr>
        <w:t>2008</w:t>
      </w:r>
      <w:r w:rsidRPr="00AD48F9">
        <w:rPr>
          <w:sz w:val="20"/>
          <w:szCs w:val="20"/>
        </w:rPr>
        <w:br/>
        <w:t>ICMA invites investors and asset managers to join the newly created Asset Management and Investors Council (AMIC).</w:t>
      </w:r>
      <w:r w:rsidRPr="00AD48F9">
        <w:rPr>
          <w:sz w:val="20"/>
          <w:szCs w:val="20"/>
        </w:rPr>
        <w:br/>
      </w:r>
      <w:r w:rsidRPr="00AD48F9">
        <w:rPr>
          <w:sz w:val="20"/>
          <w:szCs w:val="20"/>
        </w:rPr>
        <w:br/>
      </w:r>
      <w:r w:rsidRPr="002404D2">
        <w:rPr>
          <w:b/>
          <w:sz w:val="20"/>
          <w:szCs w:val="20"/>
        </w:rPr>
        <w:t>2009</w:t>
      </w:r>
      <w:r w:rsidRPr="00AD48F9">
        <w:rPr>
          <w:sz w:val="20"/>
          <w:szCs w:val="20"/>
        </w:rPr>
        <w:br/>
        <w:t xml:space="preserve">ICMA sells its market services arm, </w:t>
      </w:r>
      <w:proofErr w:type="spellStart"/>
      <w:r w:rsidRPr="00AD48F9">
        <w:rPr>
          <w:sz w:val="20"/>
          <w:szCs w:val="20"/>
        </w:rPr>
        <w:t>Xtrakter</w:t>
      </w:r>
      <w:proofErr w:type="spellEnd"/>
      <w:r w:rsidRPr="00AD48F9">
        <w:rPr>
          <w:sz w:val="20"/>
          <w:szCs w:val="20"/>
        </w:rPr>
        <w:t xml:space="preserve">, to </w:t>
      </w:r>
      <w:proofErr w:type="spellStart"/>
      <w:r w:rsidRPr="00AD48F9">
        <w:rPr>
          <w:sz w:val="20"/>
          <w:szCs w:val="20"/>
        </w:rPr>
        <w:t>Euroclear</w:t>
      </w:r>
      <w:proofErr w:type="spellEnd"/>
      <w:r w:rsidRPr="00AD48F9">
        <w:rPr>
          <w:sz w:val="20"/>
          <w:szCs w:val="20"/>
        </w:rPr>
        <w:t>.</w:t>
      </w:r>
      <w:r w:rsidRPr="00AD48F9">
        <w:rPr>
          <w:sz w:val="20"/>
          <w:szCs w:val="20"/>
        </w:rPr>
        <w:br/>
        <w:t xml:space="preserve">ICMA opens its Paris office and takes over the business activities of the Association des </w:t>
      </w:r>
      <w:proofErr w:type="spellStart"/>
      <w:r w:rsidRPr="00AD48F9">
        <w:rPr>
          <w:sz w:val="20"/>
          <w:szCs w:val="20"/>
        </w:rPr>
        <w:t>Marchés</w:t>
      </w:r>
      <w:proofErr w:type="spellEnd"/>
      <w:r w:rsidRPr="00AD48F9">
        <w:rPr>
          <w:sz w:val="20"/>
          <w:szCs w:val="20"/>
        </w:rPr>
        <w:t xml:space="preserve"> </w:t>
      </w:r>
      <w:proofErr w:type="spellStart"/>
      <w:r w:rsidRPr="00AD48F9">
        <w:rPr>
          <w:sz w:val="20"/>
          <w:szCs w:val="20"/>
        </w:rPr>
        <w:t>Taux</w:t>
      </w:r>
      <w:proofErr w:type="spellEnd"/>
      <w:r w:rsidRPr="00AD48F9">
        <w:rPr>
          <w:sz w:val="20"/>
          <w:szCs w:val="20"/>
        </w:rPr>
        <w:t xml:space="preserve"> </w:t>
      </w:r>
      <w:proofErr w:type="spellStart"/>
      <w:r w:rsidRPr="00AD48F9">
        <w:rPr>
          <w:sz w:val="20"/>
          <w:szCs w:val="20"/>
        </w:rPr>
        <w:t>en</w:t>
      </w:r>
      <w:proofErr w:type="spellEnd"/>
      <w:r w:rsidRPr="00AD48F9">
        <w:rPr>
          <w:sz w:val="20"/>
          <w:szCs w:val="20"/>
        </w:rPr>
        <w:t xml:space="preserve"> Euro (AMTE).</w:t>
      </w:r>
      <w:r w:rsidRPr="00AD48F9">
        <w:rPr>
          <w:sz w:val="20"/>
          <w:szCs w:val="20"/>
        </w:rPr>
        <w:br/>
      </w:r>
      <w:r w:rsidRPr="00AD48F9">
        <w:rPr>
          <w:sz w:val="20"/>
          <w:szCs w:val="20"/>
        </w:rPr>
        <w:br/>
      </w:r>
      <w:r w:rsidRPr="002404D2">
        <w:rPr>
          <w:b/>
          <w:sz w:val="20"/>
          <w:szCs w:val="20"/>
        </w:rPr>
        <w:t>2010</w:t>
      </w:r>
      <w:r w:rsidRPr="00AD48F9">
        <w:rPr>
          <w:sz w:val="20"/>
          <w:szCs w:val="20"/>
        </w:rPr>
        <w:br/>
        <w:t>ICMA creates a chapter for Greece, Turkey and the Balkan States within the Austria, Eastern and South Eastern Europe region.</w:t>
      </w:r>
      <w:r w:rsidRPr="00AD48F9">
        <w:rPr>
          <w:sz w:val="20"/>
          <w:szCs w:val="20"/>
        </w:rPr>
        <w:br/>
      </w:r>
      <w:r w:rsidRPr="002404D2">
        <w:rPr>
          <w:b/>
          <w:sz w:val="20"/>
          <w:szCs w:val="20"/>
        </w:rPr>
        <w:t>2013</w:t>
      </w:r>
      <w:r w:rsidRPr="00AD48F9">
        <w:rPr>
          <w:sz w:val="20"/>
          <w:szCs w:val="20"/>
        </w:rPr>
        <w:br/>
        <w:t>ICMA opens its Asia Pacific office in Hong Kong to represent growing membership in the region.</w:t>
      </w:r>
      <w:r w:rsidRPr="00AD48F9">
        <w:rPr>
          <w:sz w:val="20"/>
          <w:szCs w:val="20"/>
        </w:rPr>
        <w:br/>
      </w:r>
      <w:r w:rsidRPr="00AD48F9">
        <w:rPr>
          <w:sz w:val="20"/>
          <w:szCs w:val="20"/>
        </w:rPr>
        <w:br/>
      </w:r>
      <w:r w:rsidRPr="002404D2">
        <w:rPr>
          <w:b/>
          <w:sz w:val="20"/>
          <w:szCs w:val="20"/>
        </w:rPr>
        <w:t>2015</w:t>
      </w:r>
      <w:r w:rsidRPr="00AD48F9">
        <w:rPr>
          <w:sz w:val="20"/>
          <w:szCs w:val="20"/>
        </w:rPr>
        <w:br/>
        <w:t>The International Repo Council (IRC) which operates under ICMA’s auspices changes its name to International Repo and Collateral Council (IRCC).</w:t>
      </w:r>
      <w:r w:rsidRPr="00AD48F9">
        <w:rPr>
          <w:sz w:val="20"/>
          <w:szCs w:val="20"/>
        </w:rPr>
        <w:br/>
        <w:t>ICMA creates a chapter for Ireland within the United Kingdom, Ireland and the Americas region.</w:t>
      </w:r>
      <w:r w:rsidRPr="00AD48F9">
        <w:rPr>
          <w:sz w:val="20"/>
          <w:szCs w:val="20"/>
        </w:rPr>
        <w:br/>
      </w:r>
      <w:r w:rsidRPr="00AD48F9">
        <w:rPr>
          <w:sz w:val="20"/>
          <w:szCs w:val="20"/>
        </w:rPr>
        <w:br/>
      </w:r>
      <w:r w:rsidRPr="002404D2">
        <w:rPr>
          <w:b/>
          <w:sz w:val="20"/>
          <w:szCs w:val="20"/>
        </w:rPr>
        <w:t>2017</w:t>
      </w:r>
      <w:r w:rsidRPr="00AD48F9">
        <w:rPr>
          <w:sz w:val="20"/>
          <w:szCs w:val="20"/>
        </w:rPr>
        <w:br/>
        <w:t>In January 2016 the Swiss Federal Financial Market Infrastructure Act (FMIA) enters into force which no longer provides for an “institution similar to an exchange” as one of the types of regulated institution. As a result, effective January 1, 2017 ICMA relinquishes this status and is no longer subject to supervision in Switzerland. At the same time, ICMA is one of FINMA’s national stakeholders with which FINMA maintains contact and liaises on regulatory and market matters.</w:t>
      </w:r>
      <w:r w:rsidRPr="00AD48F9">
        <w:rPr>
          <w:sz w:val="20"/>
          <w:szCs w:val="20"/>
        </w:rPr>
        <w:br/>
      </w:r>
      <w:r w:rsidRPr="00AD48F9">
        <w:rPr>
          <w:sz w:val="20"/>
          <w:szCs w:val="20"/>
        </w:rPr>
        <w:br/>
      </w:r>
      <w:r w:rsidRPr="002404D2">
        <w:rPr>
          <w:b/>
          <w:sz w:val="20"/>
          <w:szCs w:val="20"/>
        </w:rPr>
        <w:t>2018</w:t>
      </w:r>
      <w:r w:rsidRPr="00AD48F9">
        <w:rPr>
          <w:sz w:val="20"/>
          <w:szCs w:val="20"/>
        </w:rPr>
        <w:br/>
        <w:t>ICMA celebrates its 50th anniversary in London.</w:t>
      </w:r>
    </w:p>
    <w:p w:rsidR="00692B7B" w:rsidRPr="00735AC2" w:rsidRDefault="00AD48F9" w:rsidP="009F4F7F">
      <w:pPr>
        <w:pStyle w:val="NormalWeb"/>
        <w:rPr>
          <w:i/>
          <w:iCs/>
          <w:sz w:val="20"/>
          <w:szCs w:val="20"/>
        </w:rPr>
      </w:pPr>
      <w:r w:rsidRPr="002404D2">
        <w:rPr>
          <w:b/>
          <w:sz w:val="20"/>
          <w:szCs w:val="20"/>
        </w:rPr>
        <w:t>2021</w:t>
      </w:r>
      <w:r w:rsidRPr="00AD48F9">
        <w:rPr>
          <w:sz w:val="20"/>
          <w:szCs w:val="20"/>
        </w:rPr>
        <w:br/>
        <w:t xml:space="preserve">ICMA decides to break up the region for the United Kingdom, Ireland and the Americas into two distinct and separate regions, i.e. the region for Ireland and </w:t>
      </w:r>
      <w:r w:rsidRPr="006E69C4">
        <w:rPr>
          <w:sz w:val="20"/>
          <w:szCs w:val="20"/>
        </w:rPr>
        <w:t>the region for the U</w:t>
      </w:r>
      <w:r w:rsidR="00F4652C">
        <w:rPr>
          <w:sz w:val="20"/>
          <w:szCs w:val="20"/>
        </w:rPr>
        <w:t>nited Kingdom and the</w:t>
      </w:r>
    </w:p>
    <w:sectPr w:rsidR="00692B7B" w:rsidRPr="00735AC2">
      <w:head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38AA" w:rsidRDefault="00D738AA" w:rsidP="00692B7B">
      <w:pPr>
        <w:spacing w:after="0" w:line="240" w:lineRule="auto"/>
      </w:pPr>
      <w:r>
        <w:separator/>
      </w:r>
    </w:p>
  </w:endnote>
  <w:endnote w:type="continuationSeparator" w:id="0">
    <w:p w:rsidR="00D738AA" w:rsidRDefault="00D738AA" w:rsidP="00692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38AA" w:rsidRDefault="00D738AA" w:rsidP="00692B7B">
      <w:pPr>
        <w:spacing w:after="0" w:line="240" w:lineRule="auto"/>
      </w:pPr>
      <w:r>
        <w:separator/>
      </w:r>
    </w:p>
  </w:footnote>
  <w:footnote w:type="continuationSeparator" w:id="0">
    <w:p w:rsidR="00D738AA" w:rsidRDefault="00D738AA" w:rsidP="00692B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B7B" w:rsidRDefault="00692B7B">
    <w:pPr>
      <w:pStyle w:val="Header"/>
    </w:pPr>
  </w:p>
  <w:p w:rsidR="00692B7B" w:rsidRPr="00692B7B" w:rsidRDefault="00692B7B" w:rsidP="00692B7B">
    <w:pPr>
      <w:pStyle w:val="Header"/>
      <w:jc w:val="center"/>
      <w:rPr>
        <w:sz w:val="16"/>
        <w:szCs w:val="16"/>
      </w:rPr>
    </w:pPr>
    <w:r w:rsidRPr="00692B7B">
      <w:rPr>
        <w:rFonts w:ascii="Arial Black" w:hAnsi="Arial Black"/>
        <w:sz w:val="16"/>
        <w:szCs w:val="16"/>
      </w:rPr>
      <w:t>ICMA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5D6898"/>
    <w:multiLevelType w:val="multilevel"/>
    <w:tmpl w:val="147C5E70"/>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1937D1"/>
    <w:multiLevelType w:val="multilevel"/>
    <w:tmpl w:val="C828576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9C0551"/>
    <w:multiLevelType w:val="multilevel"/>
    <w:tmpl w:val="0398484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8F9"/>
    <w:rsid w:val="00043086"/>
    <w:rsid w:val="0005722F"/>
    <w:rsid w:val="00084DE8"/>
    <w:rsid w:val="000A3E6F"/>
    <w:rsid w:val="00131023"/>
    <w:rsid w:val="001D67A5"/>
    <w:rsid w:val="002075D8"/>
    <w:rsid w:val="002404D2"/>
    <w:rsid w:val="00254B6E"/>
    <w:rsid w:val="002B3C6E"/>
    <w:rsid w:val="003B7337"/>
    <w:rsid w:val="003F26F9"/>
    <w:rsid w:val="00461F8F"/>
    <w:rsid w:val="0046643F"/>
    <w:rsid w:val="004B459D"/>
    <w:rsid w:val="00571BC9"/>
    <w:rsid w:val="005A1AA8"/>
    <w:rsid w:val="00692B7B"/>
    <w:rsid w:val="006B2728"/>
    <w:rsid w:val="006B6B7A"/>
    <w:rsid w:val="006B7788"/>
    <w:rsid w:val="006E69C4"/>
    <w:rsid w:val="00735AC2"/>
    <w:rsid w:val="00795005"/>
    <w:rsid w:val="00821675"/>
    <w:rsid w:val="008735F9"/>
    <w:rsid w:val="008D04DE"/>
    <w:rsid w:val="00920C43"/>
    <w:rsid w:val="009C21CE"/>
    <w:rsid w:val="009F0C01"/>
    <w:rsid w:val="009F4F7F"/>
    <w:rsid w:val="00A649D6"/>
    <w:rsid w:val="00A75A72"/>
    <w:rsid w:val="00A92517"/>
    <w:rsid w:val="00AD48F9"/>
    <w:rsid w:val="00AD609B"/>
    <w:rsid w:val="00AF7E4E"/>
    <w:rsid w:val="00CE6E6E"/>
    <w:rsid w:val="00D14EC5"/>
    <w:rsid w:val="00D41865"/>
    <w:rsid w:val="00D738AA"/>
    <w:rsid w:val="00DF71EE"/>
    <w:rsid w:val="00E5265C"/>
    <w:rsid w:val="00F230BD"/>
    <w:rsid w:val="00F237E6"/>
    <w:rsid w:val="00F255E4"/>
    <w:rsid w:val="00F4652C"/>
    <w:rsid w:val="00F533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68FB0"/>
  <w15:chartTrackingRefBased/>
  <w15:docId w15:val="{E1698DA1-EF65-4639-A9E4-15690A715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D48F9"/>
    <w:rPr>
      <w:b/>
      <w:bCs/>
    </w:rPr>
  </w:style>
  <w:style w:type="character" w:styleId="Hyperlink">
    <w:name w:val="Hyperlink"/>
    <w:basedOn w:val="DefaultParagraphFont"/>
    <w:uiPriority w:val="99"/>
    <w:unhideWhenUsed/>
    <w:rsid w:val="00AD48F9"/>
    <w:rPr>
      <w:color w:val="0000FF"/>
      <w:u w:val="single"/>
    </w:rPr>
  </w:style>
  <w:style w:type="character" w:customStyle="1" w:styleId="headermainblue">
    <w:name w:val="headermainblue"/>
    <w:basedOn w:val="DefaultParagraphFont"/>
    <w:rsid w:val="00AD48F9"/>
  </w:style>
  <w:style w:type="paragraph" w:styleId="NormalWeb">
    <w:name w:val="Normal (Web)"/>
    <w:basedOn w:val="Normal"/>
    <w:uiPriority w:val="99"/>
    <w:unhideWhenUsed/>
    <w:rsid w:val="006E69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E69C4"/>
    <w:rPr>
      <w:i/>
      <w:iCs/>
    </w:rPr>
  </w:style>
  <w:style w:type="paragraph" w:styleId="Header">
    <w:name w:val="header"/>
    <w:basedOn w:val="Normal"/>
    <w:link w:val="HeaderChar"/>
    <w:uiPriority w:val="99"/>
    <w:unhideWhenUsed/>
    <w:rsid w:val="00692B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2B7B"/>
  </w:style>
  <w:style w:type="paragraph" w:styleId="Footer">
    <w:name w:val="footer"/>
    <w:basedOn w:val="Normal"/>
    <w:link w:val="FooterChar"/>
    <w:uiPriority w:val="99"/>
    <w:unhideWhenUsed/>
    <w:rsid w:val="00692B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2B7B"/>
  </w:style>
  <w:style w:type="paragraph" w:styleId="ListParagraph">
    <w:name w:val="List Paragraph"/>
    <w:basedOn w:val="Normal"/>
    <w:uiPriority w:val="34"/>
    <w:qFormat/>
    <w:rsid w:val="003F26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57947">
      <w:bodyDiv w:val="1"/>
      <w:marLeft w:val="0"/>
      <w:marRight w:val="0"/>
      <w:marTop w:val="0"/>
      <w:marBottom w:val="0"/>
      <w:divBdr>
        <w:top w:val="none" w:sz="0" w:space="0" w:color="auto"/>
        <w:left w:val="none" w:sz="0" w:space="0" w:color="auto"/>
        <w:bottom w:val="none" w:sz="0" w:space="0" w:color="auto"/>
        <w:right w:val="none" w:sz="0" w:space="0" w:color="auto"/>
      </w:divBdr>
    </w:div>
    <w:div w:id="90439946">
      <w:bodyDiv w:val="1"/>
      <w:marLeft w:val="0"/>
      <w:marRight w:val="0"/>
      <w:marTop w:val="0"/>
      <w:marBottom w:val="0"/>
      <w:divBdr>
        <w:top w:val="none" w:sz="0" w:space="0" w:color="auto"/>
        <w:left w:val="none" w:sz="0" w:space="0" w:color="auto"/>
        <w:bottom w:val="none" w:sz="0" w:space="0" w:color="auto"/>
        <w:right w:val="none" w:sz="0" w:space="0" w:color="auto"/>
      </w:divBdr>
    </w:div>
    <w:div w:id="559250630">
      <w:bodyDiv w:val="1"/>
      <w:marLeft w:val="0"/>
      <w:marRight w:val="0"/>
      <w:marTop w:val="0"/>
      <w:marBottom w:val="0"/>
      <w:divBdr>
        <w:top w:val="none" w:sz="0" w:space="0" w:color="auto"/>
        <w:left w:val="none" w:sz="0" w:space="0" w:color="auto"/>
        <w:bottom w:val="none" w:sz="0" w:space="0" w:color="auto"/>
        <w:right w:val="none" w:sz="0" w:space="0" w:color="auto"/>
      </w:divBdr>
    </w:div>
    <w:div w:id="832719125">
      <w:bodyDiv w:val="1"/>
      <w:marLeft w:val="0"/>
      <w:marRight w:val="0"/>
      <w:marTop w:val="0"/>
      <w:marBottom w:val="0"/>
      <w:divBdr>
        <w:top w:val="none" w:sz="0" w:space="0" w:color="auto"/>
        <w:left w:val="none" w:sz="0" w:space="0" w:color="auto"/>
        <w:bottom w:val="none" w:sz="0" w:space="0" w:color="auto"/>
        <w:right w:val="none" w:sz="0" w:space="0" w:color="auto"/>
      </w:divBdr>
    </w:div>
    <w:div w:id="879829985">
      <w:bodyDiv w:val="1"/>
      <w:marLeft w:val="0"/>
      <w:marRight w:val="0"/>
      <w:marTop w:val="0"/>
      <w:marBottom w:val="0"/>
      <w:divBdr>
        <w:top w:val="none" w:sz="0" w:space="0" w:color="auto"/>
        <w:left w:val="none" w:sz="0" w:space="0" w:color="auto"/>
        <w:bottom w:val="none" w:sz="0" w:space="0" w:color="auto"/>
        <w:right w:val="none" w:sz="0" w:space="0" w:color="auto"/>
      </w:divBdr>
    </w:div>
    <w:div w:id="1339383520">
      <w:bodyDiv w:val="1"/>
      <w:marLeft w:val="0"/>
      <w:marRight w:val="0"/>
      <w:marTop w:val="0"/>
      <w:marBottom w:val="0"/>
      <w:divBdr>
        <w:top w:val="none" w:sz="0" w:space="0" w:color="auto"/>
        <w:left w:val="none" w:sz="0" w:space="0" w:color="auto"/>
        <w:bottom w:val="none" w:sz="0" w:space="0" w:color="auto"/>
        <w:right w:val="none" w:sz="0" w:space="0" w:color="auto"/>
      </w:divBdr>
    </w:div>
    <w:div w:id="1432046008">
      <w:bodyDiv w:val="1"/>
      <w:marLeft w:val="0"/>
      <w:marRight w:val="0"/>
      <w:marTop w:val="0"/>
      <w:marBottom w:val="0"/>
      <w:divBdr>
        <w:top w:val="none" w:sz="0" w:space="0" w:color="auto"/>
        <w:left w:val="none" w:sz="0" w:space="0" w:color="auto"/>
        <w:bottom w:val="none" w:sz="0" w:space="0" w:color="auto"/>
        <w:right w:val="none" w:sz="0" w:space="0" w:color="auto"/>
      </w:divBdr>
    </w:div>
    <w:div w:id="1489980413">
      <w:bodyDiv w:val="1"/>
      <w:marLeft w:val="0"/>
      <w:marRight w:val="0"/>
      <w:marTop w:val="0"/>
      <w:marBottom w:val="0"/>
      <w:divBdr>
        <w:top w:val="none" w:sz="0" w:space="0" w:color="auto"/>
        <w:left w:val="none" w:sz="0" w:space="0" w:color="auto"/>
        <w:bottom w:val="none" w:sz="0" w:space="0" w:color="auto"/>
        <w:right w:val="none" w:sz="0" w:space="0" w:color="auto"/>
      </w:divBdr>
      <w:divsChild>
        <w:div w:id="8797822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icmagroup.org/About-ICMA/Governance/the-regions/asia-pacific-2/" TargetMode="External"/><Relationship Id="rId26" Type="http://schemas.openxmlformats.org/officeDocument/2006/relationships/hyperlink" Target="https://www.icmagroup.org/About-ICMA/Governance/the-regions/luxembourg-2/" TargetMode="External"/><Relationship Id="rId3" Type="http://schemas.openxmlformats.org/officeDocument/2006/relationships/settings" Target="settings.xml"/><Relationship Id="rId21" Type="http://schemas.openxmlformats.org/officeDocument/2006/relationships/hyperlink" Target="https://www.icmagroup.org/About-ICMA/Governance/the-regions/france-2/" TargetMode="External"/><Relationship Id="rId34" Type="http://schemas.openxmlformats.org/officeDocument/2006/relationships/theme" Target="theme/theme1.xml"/><Relationship Id="rId7" Type="http://schemas.openxmlformats.org/officeDocument/2006/relationships/hyperlink" Target="https://www.icmagroup.org/About-ICMA/" TargetMode="External"/><Relationship Id="rId12" Type="http://schemas.openxmlformats.org/officeDocument/2006/relationships/image" Target="media/image4.png"/><Relationship Id="rId17" Type="http://schemas.openxmlformats.org/officeDocument/2006/relationships/hyperlink" Target="https://www.icmagroup.org/About-ICMA/Governance/the-regions/africa/" TargetMode="External"/><Relationship Id="rId25" Type="http://schemas.openxmlformats.org/officeDocument/2006/relationships/hyperlink" Target="https://www.icmagroup.org/About-ICMA/Governance/the-regions/italy-2/"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icmagroup.org/About-ICMA/Governance/Committee-of-Regional-Representatives-CRR/" TargetMode="External"/><Relationship Id="rId20" Type="http://schemas.openxmlformats.org/officeDocument/2006/relationships/hyperlink" Target="https://www.icmagroup.org/About-ICMA/Governance/the-regions/belgium-2/" TargetMode="External"/><Relationship Id="rId29" Type="http://schemas.openxmlformats.org/officeDocument/2006/relationships/hyperlink" Target="https://www.icmagroup.org/About-ICMA/Governance/the-regions/nordic-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icmagroup.org/About-ICMA/icma-regions/ireland/"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icmagroup.org/About-ICMA/Governance/the-regions/iberia-2/" TargetMode="External"/><Relationship Id="rId28" Type="http://schemas.openxmlformats.org/officeDocument/2006/relationships/hyperlink" Target="https://www.icmagroup.org/About-ICMA/Governance/the-regions/netherlands-2/" TargetMode="External"/><Relationship Id="rId10" Type="http://schemas.openxmlformats.org/officeDocument/2006/relationships/hyperlink" Target="https://www.icmagroup.org/About-ICMA/history/history-of-the-eurobond-market/" TargetMode="External"/><Relationship Id="rId19" Type="http://schemas.openxmlformats.org/officeDocument/2006/relationships/hyperlink" Target="https://www.icmagroup.org/About-ICMA/Governance/the-regions/austria-2/" TargetMode="External"/><Relationship Id="rId31" Type="http://schemas.openxmlformats.org/officeDocument/2006/relationships/hyperlink" Target="https://www.icmagroup.org/About-ICMA/Governance/the-regions/united-kingdom-and-americas-2/"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icmagroup.org/About-ICMA/Governance/the-regions/germany-2/" TargetMode="External"/><Relationship Id="rId27" Type="http://schemas.openxmlformats.org/officeDocument/2006/relationships/hyperlink" Target="https://www.icmagroup.org/About-ICMA/Governance/the-regions/middle-east-and-north-africa-2/" TargetMode="External"/><Relationship Id="rId30" Type="http://schemas.openxmlformats.org/officeDocument/2006/relationships/hyperlink" Target="https://www.icmagroup.org/About-ICMA/Governance/the-regions/switzerland-2/"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1798</Words>
  <Characters>10255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 Walker</dc:creator>
  <cp:keywords/>
  <dc:description/>
  <cp:lastModifiedBy>GA Walker</cp:lastModifiedBy>
  <cp:revision>10</cp:revision>
  <dcterms:created xsi:type="dcterms:W3CDTF">2024-10-26T12:15:00Z</dcterms:created>
  <dcterms:modified xsi:type="dcterms:W3CDTF">2024-10-26T12:19:00Z</dcterms:modified>
</cp:coreProperties>
</file>