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E387" w14:textId="4F5584AC" w:rsidR="0032706C" w:rsidRPr="00B467C3" w:rsidRDefault="0032706C" w:rsidP="001D7F94">
      <w:pPr>
        <w:jc w:val="center"/>
        <w:rPr>
          <w:rFonts w:ascii="Times New Roman" w:hAnsi="Times New Roman" w:cs="Times New Roman"/>
          <w:b/>
          <w:sz w:val="20"/>
          <w:szCs w:val="20"/>
        </w:rPr>
      </w:pPr>
      <w:bookmarkStart w:id="0" w:name="_GoBack"/>
      <w:bookmarkEnd w:id="0"/>
      <w:r w:rsidRPr="00B467C3">
        <w:rPr>
          <w:rFonts w:ascii="Times New Roman" w:hAnsi="Times New Roman" w:cs="Times New Roman"/>
          <w:b/>
          <w:sz w:val="20"/>
          <w:szCs w:val="20"/>
        </w:rPr>
        <w:t>The Effect of Disclaimer Provisions on Bank Liability and its Implications for Arrangers of Syndicated Loans</w:t>
      </w:r>
    </w:p>
    <w:p w14:paraId="1F348666" w14:textId="77777777" w:rsidR="0032706C" w:rsidRPr="00B467C3" w:rsidRDefault="0032706C" w:rsidP="00BB306E">
      <w:pPr>
        <w:jc w:val="center"/>
        <w:rPr>
          <w:rFonts w:ascii="Times New Roman" w:hAnsi="Times New Roman" w:cs="Times New Roman"/>
          <w:b/>
          <w:sz w:val="20"/>
          <w:szCs w:val="20"/>
        </w:rPr>
      </w:pPr>
    </w:p>
    <w:p w14:paraId="31C6357F" w14:textId="1BFF20BB" w:rsidR="0032706C" w:rsidRPr="00B467C3" w:rsidRDefault="0032706C" w:rsidP="00BB306E">
      <w:pPr>
        <w:jc w:val="center"/>
        <w:rPr>
          <w:rFonts w:ascii="Times New Roman" w:hAnsi="Times New Roman" w:cs="Times New Roman"/>
          <w:b/>
          <w:sz w:val="20"/>
          <w:szCs w:val="20"/>
        </w:rPr>
      </w:pPr>
      <w:r w:rsidRPr="00B467C3">
        <w:rPr>
          <w:rFonts w:ascii="Times New Roman" w:hAnsi="Times New Roman" w:cs="Times New Roman"/>
          <w:b/>
          <w:sz w:val="20"/>
          <w:szCs w:val="20"/>
        </w:rPr>
        <w:t>Prof. GA Walker</w:t>
      </w:r>
    </w:p>
    <w:p w14:paraId="3A853141" w14:textId="4C6F40B9" w:rsidR="0032706C" w:rsidRPr="00BB306E" w:rsidRDefault="0032706C" w:rsidP="00BB306E">
      <w:pPr>
        <w:rPr>
          <w:rFonts w:ascii="Times New Roman" w:hAnsi="Times New Roman" w:cs="Times New Roman"/>
          <w:sz w:val="20"/>
          <w:szCs w:val="20"/>
        </w:rPr>
      </w:pPr>
    </w:p>
    <w:p w14:paraId="03C74726" w14:textId="5535701D" w:rsidR="00CE76D6" w:rsidRPr="00B467C3" w:rsidRDefault="00CE76D6" w:rsidP="00BB306E">
      <w:pPr>
        <w:rPr>
          <w:rFonts w:ascii="Times New Roman" w:hAnsi="Times New Roman" w:cs="Times New Roman"/>
          <w:b/>
          <w:sz w:val="20"/>
          <w:szCs w:val="20"/>
        </w:rPr>
      </w:pPr>
      <w:r w:rsidRPr="00B467C3">
        <w:rPr>
          <w:rFonts w:ascii="Times New Roman" w:hAnsi="Times New Roman" w:cs="Times New Roman"/>
          <w:b/>
          <w:sz w:val="20"/>
          <w:szCs w:val="20"/>
        </w:rPr>
        <w:t>INTRODUCTION</w:t>
      </w:r>
    </w:p>
    <w:p w14:paraId="1D76C03C" w14:textId="149EA0F0" w:rsidR="00CE76D6" w:rsidRPr="00BB306E" w:rsidRDefault="00B91F66" w:rsidP="00BB306E">
      <w:pPr>
        <w:ind w:firstLine="720"/>
        <w:rPr>
          <w:rFonts w:ascii="Times New Roman" w:hAnsi="Times New Roman" w:cs="Times New Roman"/>
          <w:sz w:val="20"/>
          <w:szCs w:val="20"/>
        </w:rPr>
      </w:pPr>
      <w:r w:rsidRPr="00BB306E">
        <w:rPr>
          <w:rFonts w:ascii="Times New Roman" w:hAnsi="Times New Roman" w:cs="Times New Roman"/>
          <w:sz w:val="20"/>
          <w:szCs w:val="20"/>
        </w:rPr>
        <w:t>The</w:t>
      </w:r>
      <w:r w:rsidR="00996C10" w:rsidRPr="00BB306E">
        <w:rPr>
          <w:rFonts w:ascii="Times New Roman" w:hAnsi="Times New Roman" w:cs="Times New Roman"/>
          <w:sz w:val="20"/>
          <w:szCs w:val="20"/>
        </w:rPr>
        <w:t xml:space="preserve"> tension </w:t>
      </w:r>
      <w:r w:rsidRPr="00BB306E">
        <w:rPr>
          <w:rFonts w:ascii="Times New Roman" w:hAnsi="Times New Roman" w:cs="Times New Roman"/>
          <w:sz w:val="20"/>
          <w:szCs w:val="20"/>
        </w:rPr>
        <w:t xml:space="preserve">between an investor’s inclination to impose expectations on the bank that provides them with information about the investment, and the bank’s inclination to disclaim nearly all responsibility for the accuracy of that information. This dichotomy </w:t>
      </w:r>
      <w:r w:rsidR="00996C10" w:rsidRPr="00BB306E">
        <w:rPr>
          <w:rFonts w:ascii="Times New Roman" w:hAnsi="Times New Roman" w:cs="Times New Roman"/>
          <w:sz w:val="20"/>
          <w:szCs w:val="20"/>
        </w:rPr>
        <w:t xml:space="preserve">is highlighted by </w:t>
      </w:r>
      <w:r w:rsidR="00DC5610" w:rsidRPr="00BB306E">
        <w:rPr>
          <w:rFonts w:ascii="Times New Roman" w:hAnsi="Times New Roman" w:cs="Times New Roman"/>
          <w:sz w:val="20"/>
          <w:szCs w:val="20"/>
        </w:rPr>
        <w:t xml:space="preserve">recent high-profile cases that analyze the shielding effects of disclaimer clauses for banks </w:t>
      </w:r>
      <w:r w:rsidR="002E29E5" w:rsidRPr="00BB306E">
        <w:rPr>
          <w:rFonts w:ascii="Times New Roman" w:hAnsi="Times New Roman" w:cs="Times New Roman"/>
          <w:sz w:val="20"/>
          <w:szCs w:val="20"/>
        </w:rPr>
        <w:t>sued for</w:t>
      </w:r>
      <w:r w:rsidR="00DC5610" w:rsidRPr="00BB306E">
        <w:rPr>
          <w:rFonts w:ascii="Times New Roman" w:hAnsi="Times New Roman" w:cs="Times New Roman"/>
          <w:sz w:val="20"/>
          <w:szCs w:val="20"/>
        </w:rPr>
        <w:t xml:space="preserve"> negligence and misrepresentation</w:t>
      </w:r>
      <w:r w:rsidR="00996C10" w:rsidRPr="00BB306E">
        <w:rPr>
          <w:rFonts w:ascii="Times New Roman" w:hAnsi="Times New Roman" w:cs="Times New Roman"/>
          <w:sz w:val="20"/>
          <w:szCs w:val="20"/>
        </w:rPr>
        <w:t xml:space="preserve">. This </w:t>
      </w:r>
      <w:r w:rsidR="00DC5610" w:rsidRPr="00BB306E">
        <w:rPr>
          <w:rFonts w:ascii="Times New Roman" w:hAnsi="Times New Roman" w:cs="Times New Roman"/>
          <w:sz w:val="20"/>
          <w:szCs w:val="20"/>
        </w:rPr>
        <w:t xml:space="preserve">paper aims to elucidate </w:t>
      </w:r>
      <w:r w:rsidR="00E81E64" w:rsidRPr="00BB306E">
        <w:rPr>
          <w:rFonts w:ascii="Times New Roman" w:hAnsi="Times New Roman" w:cs="Times New Roman"/>
          <w:sz w:val="20"/>
          <w:szCs w:val="20"/>
        </w:rPr>
        <w:t xml:space="preserve">whether and to what extent arranging banks </w:t>
      </w:r>
      <w:r w:rsidR="002E29E5" w:rsidRPr="00BB306E">
        <w:rPr>
          <w:rFonts w:ascii="Times New Roman" w:hAnsi="Times New Roman" w:cs="Times New Roman"/>
          <w:sz w:val="20"/>
          <w:szCs w:val="20"/>
        </w:rPr>
        <w:t xml:space="preserve">can rely on disclaimer clauses when such claims are made. </w:t>
      </w:r>
      <w:r w:rsidR="00EA0284" w:rsidRPr="00BB306E">
        <w:rPr>
          <w:rFonts w:ascii="Times New Roman" w:hAnsi="Times New Roman" w:cs="Times New Roman"/>
          <w:sz w:val="20"/>
          <w:szCs w:val="20"/>
        </w:rPr>
        <w:t xml:space="preserve">This is a complex area of </w:t>
      </w:r>
      <w:r w:rsidR="00996C10" w:rsidRPr="00BB306E">
        <w:rPr>
          <w:rFonts w:ascii="Times New Roman" w:hAnsi="Times New Roman" w:cs="Times New Roman"/>
          <w:sz w:val="20"/>
          <w:szCs w:val="20"/>
        </w:rPr>
        <w:t>liability; b</w:t>
      </w:r>
      <w:r w:rsidR="00EA0284" w:rsidRPr="00BB306E">
        <w:rPr>
          <w:rFonts w:ascii="Times New Roman" w:hAnsi="Times New Roman" w:cs="Times New Roman"/>
          <w:sz w:val="20"/>
          <w:szCs w:val="20"/>
        </w:rPr>
        <w:t xml:space="preserve">y way of limitation, </w:t>
      </w:r>
      <w:r w:rsidR="00996C10" w:rsidRPr="00BB306E">
        <w:rPr>
          <w:rFonts w:ascii="Times New Roman" w:hAnsi="Times New Roman" w:cs="Times New Roman"/>
          <w:sz w:val="20"/>
          <w:szCs w:val="20"/>
        </w:rPr>
        <w:t>this paper</w:t>
      </w:r>
      <w:r w:rsidR="00EA0284" w:rsidRPr="00BB306E">
        <w:rPr>
          <w:rFonts w:ascii="Times New Roman" w:hAnsi="Times New Roman" w:cs="Times New Roman"/>
          <w:sz w:val="20"/>
          <w:szCs w:val="20"/>
        </w:rPr>
        <w:t xml:space="preserve"> </w:t>
      </w:r>
      <w:r w:rsidR="00996C10" w:rsidRPr="00BB306E">
        <w:rPr>
          <w:rFonts w:ascii="Times New Roman" w:hAnsi="Times New Roman" w:cs="Times New Roman"/>
          <w:sz w:val="20"/>
          <w:szCs w:val="20"/>
        </w:rPr>
        <w:t>will focus primarily on the</w:t>
      </w:r>
      <w:r w:rsidR="00EA0284" w:rsidRPr="00BB306E">
        <w:rPr>
          <w:rFonts w:ascii="Times New Roman" w:hAnsi="Times New Roman" w:cs="Times New Roman"/>
          <w:sz w:val="20"/>
          <w:szCs w:val="20"/>
        </w:rPr>
        <w:t xml:space="preserve"> </w:t>
      </w:r>
      <w:r w:rsidR="00DC5610" w:rsidRPr="00BB306E">
        <w:rPr>
          <w:rFonts w:ascii="Times New Roman" w:hAnsi="Times New Roman" w:cs="Times New Roman"/>
          <w:sz w:val="20"/>
          <w:szCs w:val="20"/>
        </w:rPr>
        <w:t>claims of negligence and misrepresentation.</w:t>
      </w:r>
      <w:r w:rsidR="00EA0284" w:rsidRPr="00BB306E">
        <w:rPr>
          <w:rFonts w:ascii="Times New Roman" w:hAnsi="Times New Roman" w:cs="Times New Roman"/>
          <w:sz w:val="20"/>
          <w:szCs w:val="20"/>
        </w:rPr>
        <w:t xml:space="preserve"> Additionally, t</w:t>
      </w:r>
      <w:r w:rsidR="00613F93" w:rsidRPr="00BB306E">
        <w:rPr>
          <w:rFonts w:ascii="Times New Roman" w:hAnsi="Times New Roman" w:cs="Times New Roman"/>
          <w:sz w:val="20"/>
          <w:szCs w:val="20"/>
        </w:rPr>
        <w:t xml:space="preserve">he </w:t>
      </w:r>
      <w:r w:rsidR="00EA0284" w:rsidRPr="00BB306E">
        <w:rPr>
          <w:rFonts w:ascii="Times New Roman" w:hAnsi="Times New Roman" w:cs="Times New Roman"/>
          <w:sz w:val="20"/>
          <w:szCs w:val="20"/>
        </w:rPr>
        <w:t xml:space="preserve">case selection here has been guided by </w:t>
      </w:r>
      <w:r w:rsidR="00996C10" w:rsidRPr="00BB306E">
        <w:rPr>
          <w:rFonts w:ascii="Times New Roman" w:hAnsi="Times New Roman" w:cs="Times New Roman"/>
          <w:sz w:val="20"/>
          <w:szCs w:val="20"/>
        </w:rPr>
        <w:t xml:space="preserve">cases discussed in </w:t>
      </w:r>
      <w:r w:rsidR="00613F93" w:rsidRPr="00BB306E">
        <w:rPr>
          <w:rFonts w:ascii="Times New Roman" w:hAnsi="Times New Roman" w:cs="Times New Roman"/>
          <w:sz w:val="20"/>
          <w:szCs w:val="20"/>
        </w:rPr>
        <w:t xml:space="preserve">the landmark </w:t>
      </w:r>
      <w:r w:rsidR="00996C10" w:rsidRPr="00BB306E">
        <w:rPr>
          <w:rFonts w:ascii="Times New Roman" w:hAnsi="Times New Roman" w:cs="Times New Roman"/>
          <w:sz w:val="20"/>
          <w:szCs w:val="20"/>
        </w:rPr>
        <w:t>judgments in</w:t>
      </w:r>
      <w:r w:rsidR="00613F93" w:rsidRPr="00BB306E">
        <w:rPr>
          <w:rFonts w:ascii="Times New Roman" w:hAnsi="Times New Roman" w:cs="Times New Roman"/>
          <w:sz w:val="20"/>
          <w:szCs w:val="20"/>
        </w:rPr>
        <w:t xml:space="preserve"> </w:t>
      </w:r>
      <w:r w:rsidR="00613F93" w:rsidRPr="00BB306E">
        <w:rPr>
          <w:rFonts w:ascii="Times New Roman" w:hAnsi="Times New Roman" w:cs="Times New Roman"/>
          <w:i/>
          <w:sz w:val="20"/>
          <w:szCs w:val="20"/>
        </w:rPr>
        <w:t xml:space="preserve">JP Morgan Chase Bank v. </w:t>
      </w:r>
      <w:proofErr w:type="spellStart"/>
      <w:r w:rsidR="00613F93" w:rsidRPr="00BB306E">
        <w:rPr>
          <w:rFonts w:ascii="Times New Roman" w:hAnsi="Times New Roman" w:cs="Times New Roman"/>
          <w:i/>
          <w:sz w:val="20"/>
          <w:szCs w:val="20"/>
        </w:rPr>
        <w:t>Springwell</w:t>
      </w:r>
      <w:proofErr w:type="spellEnd"/>
      <w:r w:rsidR="00613F93" w:rsidRPr="00BB306E">
        <w:rPr>
          <w:rFonts w:ascii="Times New Roman" w:hAnsi="Times New Roman" w:cs="Times New Roman"/>
          <w:i/>
          <w:sz w:val="20"/>
          <w:szCs w:val="20"/>
        </w:rPr>
        <w:t xml:space="preserve"> Navigation Corporation</w:t>
      </w:r>
      <w:r w:rsidR="00EA0284" w:rsidRPr="00BB306E">
        <w:rPr>
          <w:rFonts w:ascii="Times New Roman" w:hAnsi="Times New Roman" w:cs="Times New Roman"/>
          <w:sz w:val="20"/>
          <w:szCs w:val="20"/>
        </w:rPr>
        <w:t>.</w:t>
      </w:r>
      <w:r w:rsidR="00613F93" w:rsidRPr="00BB306E">
        <w:rPr>
          <w:rStyle w:val="FootnoteReference"/>
          <w:rFonts w:ascii="Times New Roman" w:hAnsi="Times New Roman" w:cs="Times New Roman"/>
          <w:sz w:val="20"/>
          <w:szCs w:val="20"/>
        </w:rPr>
        <w:footnoteReference w:id="1"/>
      </w:r>
      <w:r w:rsidR="00613F93" w:rsidRPr="00BB306E">
        <w:rPr>
          <w:rFonts w:ascii="Times New Roman" w:hAnsi="Times New Roman" w:cs="Times New Roman"/>
          <w:sz w:val="20"/>
          <w:szCs w:val="20"/>
        </w:rPr>
        <w:t xml:space="preserve"> </w:t>
      </w:r>
      <w:r w:rsidR="005F0B47" w:rsidRPr="00BB306E">
        <w:rPr>
          <w:rFonts w:ascii="Times New Roman" w:hAnsi="Times New Roman" w:cs="Times New Roman"/>
          <w:b/>
          <w:sz w:val="20"/>
          <w:szCs w:val="20"/>
        </w:rPr>
        <w:t>Overall, this paper holds</w:t>
      </w:r>
      <w:r w:rsidR="005F0B47" w:rsidRPr="00BB306E">
        <w:rPr>
          <w:rFonts w:ascii="Times New Roman" w:hAnsi="Times New Roman" w:cs="Times New Roman"/>
          <w:sz w:val="20"/>
          <w:szCs w:val="20"/>
        </w:rPr>
        <w:t xml:space="preserve"> that</w:t>
      </w:r>
      <w:r w:rsidR="00083B76" w:rsidRPr="00BB306E">
        <w:rPr>
          <w:rFonts w:ascii="Times New Roman" w:hAnsi="Times New Roman" w:cs="Times New Roman"/>
          <w:sz w:val="20"/>
          <w:szCs w:val="20"/>
        </w:rPr>
        <w:t xml:space="preserve"> </w:t>
      </w:r>
      <w:r w:rsidR="00B95F3E" w:rsidRPr="00BB306E">
        <w:rPr>
          <w:rFonts w:ascii="Times New Roman" w:hAnsi="Times New Roman" w:cs="Times New Roman"/>
          <w:sz w:val="20"/>
          <w:szCs w:val="20"/>
        </w:rPr>
        <w:t>in light of the expertise of parties engaging syndicated loans</w:t>
      </w:r>
      <w:r w:rsidR="00083B76" w:rsidRPr="00BB306E">
        <w:rPr>
          <w:rFonts w:ascii="Times New Roman" w:hAnsi="Times New Roman" w:cs="Times New Roman"/>
          <w:sz w:val="20"/>
          <w:szCs w:val="20"/>
        </w:rPr>
        <w:t xml:space="preserve">, a </w:t>
      </w:r>
      <w:r w:rsidR="00B95F3E" w:rsidRPr="00BB306E">
        <w:rPr>
          <w:rFonts w:ascii="Times New Roman" w:hAnsi="Times New Roman" w:cs="Times New Roman"/>
          <w:sz w:val="20"/>
          <w:szCs w:val="20"/>
        </w:rPr>
        <w:t xml:space="preserve">court is unlikely to </w:t>
      </w:r>
      <w:r w:rsidR="00083B76" w:rsidRPr="00BB306E">
        <w:rPr>
          <w:rFonts w:ascii="Times New Roman" w:hAnsi="Times New Roman" w:cs="Times New Roman"/>
          <w:sz w:val="20"/>
          <w:szCs w:val="20"/>
        </w:rPr>
        <w:t xml:space="preserve">impose </w:t>
      </w:r>
      <w:r w:rsidR="00B65458" w:rsidRPr="00BB306E">
        <w:rPr>
          <w:rFonts w:ascii="Times New Roman" w:hAnsi="Times New Roman" w:cs="Times New Roman"/>
          <w:sz w:val="20"/>
          <w:szCs w:val="20"/>
        </w:rPr>
        <w:t xml:space="preserve">judicial </w:t>
      </w:r>
      <w:r w:rsidR="00B95F3E" w:rsidRPr="00BB306E">
        <w:rPr>
          <w:rFonts w:ascii="Times New Roman" w:hAnsi="Times New Roman" w:cs="Times New Roman"/>
          <w:sz w:val="20"/>
          <w:szCs w:val="20"/>
        </w:rPr>
        <w:t xml:space="preserve">burdens </w:t>
      </w:r>
      <w:r w:rsidR="00083B76" w:rsidRPr="00BB306E">
        <w:rPr>
          <w:rFonts w:ascii="Times New Roman" w:hAnsi="Times New Roman" w:cs="Times New Roman"/>
          <w:sz w:val="20"/>
          <w:szCs w:val="20"/>
        </w:rPr>
        <w:t xml:space="preserve">beyond </w:t>
      </w:r>
      <w:r w:rsidR="00B95F3E" w:rsidRPr="00BB306E">
        <w:rPr>
          <w:rFonts w:ascii="Times New Roman" w:hAnsi="Times New Roman" w:cs="Times New Roman"/>
          <w:sz w:val="20"/>
          <w:szCs w:val="20"/>
        </w:rPr>
        <w:t>the</w:t>
      </w:r>
      <w:r w:rsidR="00083B76" w:rsidRPr="00BB306E">
        <w:rPr>
          <w:rFonts w:ascii="Times New Roman" w:hAnsi="Times New Roman" w:cs="Times New Roman"/>
          <w:sz w:val="20"/>
          <w:szCs w:val="20"/>
        </w:rPr>
        <w:t xml:space="preserve"> </w:t>
      </w:r>
      <w:r w:rsidR="00B95F3E" w:rsidRPr="00BB306E">
        <w:rPr>
          <w:rFonts w:ascii="Times New Roman" w:hAnsi="Times New Roman" w:cs="Times New Roman"/>
          <w:sz w:val="20"/>
          <w:szCs w:val="20"/>
        </w:rPr>
        <w:t>parties’ allocation of liabilities as documented in the disclaimer</w:t>
      </w:r>
      <w:r w:rsidR="00083B76" w:rsidRPr="00BB306E">
        <w:rPr>
          <w:rFonts w:ascii="Times New Roman" w:hAnsi="Times New Roman" w:cs="Times New Roman"/>
          <w:sz w:val="20"/>
          <w:szCs w:val="20"/>
        </w:rPr>
        <w:t xml:space="preserve">, </w:t>
      </w:r>
      <w:r w:rsidR="00B95F3E" w:rsidRPr="00BB306E">
        <w:rPr>
          <w:rFonts w:ascii="Times New Roman" w:hAnsi="Times New Roman" w:cs="Times New Roman"/>
          <w:sz w:val="20"/>
          <w:szCs w:val="20"/>
        </w:rPr>
        <w:t xml:space="preserve">and </w:t>
      </w:r>
      <w:r w:rsidR="00083B76" w:rsidRPr="00BB306E">
        <w:rPr>
          <w:rFonts w:ascii="Times New Roman" w:hAnsi="Times New Roman" w:cs="Times New Roman"/>
          <w:sz w:val="20"/>
          <w:szCs w:val="20"/>
        </w:rPr>
        <w:t>thus disclaimers provide an exculpatory effect for</w:t>
      </w:r>
      <w:r w:rsidR="005F0B47" w:rsidRPr="00BB306E">
        <w:rPr>
          <w:rFonts w:ascii="Times New Roman" w:hAnsi="Times New Roman" w:cs="Times New Roman"/>
          <w:sz w:val="20"/>
          <w:szCs w:val="20"/>
        </w:rPr>
        <w:t xml:space="preserve"> </w:t>
      </w:r>
      <w:r w:rsidR="00083B76" w:rsidRPr="00BB306E">
        <w:rPr>
          <w:rFonts w:ascii="Times New Roman" w:hAnsi="Times New Roman" w:cs="Times New Roman"/>
          <w:sz w:val="20"/>
          <w:szCs w:val="20"/>
        </w:rPr>
        <w:t>arranging banks.</w:t>
      </w:r>
    </w:p>
    <w:p w14:paraId="0FA0B1C8" w14:textId="3178734D" w:rsidR="00F67555" w:rsidRPr="00BB306E" w:rsidRDefault="00B91F66" w:rsidP="00BB306E">
      <w:pPr>
        <w:ind w:firstLine="720"/>
        <w:rPr>
          <w:rFonts w:ascii="Times New Roman" w:hAnsi="Times New Roman" w:cs="Times New Roman"/>
          <w:sz w:val="20"/>
          <w:szCs w:val="20"/>
        </w:rPr>
      </w:pPr>
      <w:r w:rsidRPr="00BB306E">
        <w:rPr>
          <w:rFonts w:ascii="Times New Roman" w:hAnsi="Times New Roman" w:cs="Times New Roman"/>
          <w:sz w:val="20"/>
          <w:szCs w:val="20"/>
        </w:rPr>
        <w:t>This paper continues in Part I</w:t>
      </w:r>
      <w:r w:rsidR="008C2B5B" w:rsidRPr="00BB306E">
        <w:rPr>
          <w:rFonts w:ascii="Times New Roman" w:hAnsi="Times New Roman" w:cs="Times New Roman"/>
          <w:sz w:val="20"/>
          <w:szCs w:val="20"/>
        </w:rPr>
        <w:t>I</w:t>
      </w:r>
      <w:r w:rsidRPr="00BB306E">
        <w:rPr>
          <w:rFonts w:ascii="Times New Roman" w:hAnsi="Times New Roman" w:cs="Times New Roman"/>
          <w:sz w:val="20"/>
          <w:szCs w:val="20"/>
        </w:rPr>
        <w:t xml:space="preserve"> by delivering background information about arranging bank liability to clarify the context of the discussion. Then, Part II</w:t>
      </w:r>
      <w:r w:rsidR="008C2B5B" w:rsidRPr="00BB306E">
        <w:rPr>
          <w:rFonts w:ascii="Times New Roman" w:hAnsi="Times New Roman" w:cs="Times New Roman"/>
          <w:sz w:val="20"/>
          <w:szCs w:val="20"/>
        </w:rPr>
        <w:t>I</w:t>
      </w:r>
      <w:r w:rsidR="00F67555" w:rsidRPr="00BB306E">
        <w:rPr>
          <w:rFonts w:ascii="Times New Roman" w:hAnsi="Times New Roman" w:cs="Times New Roman"/>
          <w:sz w:val="20"/>
          <w:szCs w:val="20"/>
        </w:rPr>
        <w:t xml:space="preserve"> </w:t>
      </w:r>
      <w:r w:rsidRPr="00BB306E">
        <w:rPr>
          <w:rFonts w:ascii="Times New Roman" w:hAnsi="Times New Roman" w:cs="Times New Roman"/>
          <w:sz w:val="20"/>
          <w:szCs w:val="20"/>
        </w:rPr>
        <w:t xml:space="preserve">provides </w:t>
      </w:r>
      <w:r w:rsidR="00F67555" w:rsidRPr="00BB306E">
        <w:rPr>
          <w:rFonts w:ascii="Times New Roman" w:hAnsi="Times New Roman" w:cs="Times New Roman"/>
          <w:sz w:val="20"/>
          <w:szCs w:val="20"/>
        </w:rPr>
        <w:t xml:space="preserve">a case summary and analysis of the following: </w:t>
      </w:r>
      <w:r w:rsidR="00F67555" w:rsidRPr="00BB306E">
        <w:rPr>
          <w:rFonts w:ascii="Times New Roman" w:hAnsi="Times New Roman" w:cs="Times New Roman"/>
          <w:i/>
          <w:sz w:val="20"/>
          <w:szCs w:val="20"/>
        </w:rPr>
        <w:t>IFE Fund SA v. Goldman Sachs International</w:t>
      </w:r>
      <w:r w:rsidR="00F67555" w:rsidRPr="00BB306E">
        <w:rPr>
          <w:rStyle w:val="FootnoteReference"/>
          <w:rFonts w:ascii="Times New Roman" w:hAnsi="Times New Roman" w:cs="Times New Roman"/>
          <w:sz w:val="20"/>
          <w:szCs w:val="20"/>
        </w:rPr>
        <w:footnoteRef/>
      </w:r>
      <w:r w:rsidR="00F67555" w:rsidRPr="00BB306E">
        <w:rPr>
          <w:rFonts w:ascii="Times New Roman" w:hAnsi="Times New Roman" w:cs="Times New Roman"/>
          <w:i/>
          <w:sz w:val="20"/>
          <w:szCs w:val="20"/>
        </w:rPr>
        <w:t xml:space="preserve">, </w:t>
      </w:r>
      <w:proofErr w:type="spellStart"/>
      <w:r w:rsidR="00354097" w:rsidRPr="00BB306E">
        <w:rPr>
          <w:rFonts w:ascii="Times New Roman" w:hAnsi="Times New Roman" w:cs="Times New Roman"/>
          <w:i/>
          <w:sz w:val="20"/>
          <w:szCs w:val="20"/>
        </w:rPr>
        <w:t>Peekay</w:t>
      </w:r>
      <w:proofErr w:type="spellEnd"/>
      <w:r w:rsidR="00354097" w:rsidRPr="00BB306E">
        <w:rPr>
          <w:rFonts w:ascii="Times New Roman" w:hAnsi="Times New Roman" w:cs="Times New Roman"/>
          <w:i/>
          <w:sz w:val="20"/>
          <w:szCs w:val="20"/>
        </w:rPr>
        <w:t xml:space="preserve"> </w:t>
      </w:r>
      <w:proofErr w:type="spellStart"/>
      <w:r w:rsidR="00354097" w:rsidRPr="00BB306E">
        <w:rPr>
          <w:rFonts w:ascii="Times New Roman" w:hAnsi="Times New Roman" w:cs="Times New Roman"/>
          <w:i/>
          <w:sz w:val="20"/>
          <w:szCs w:val="20"/>
        </w:rPr>
        <w:t>Intermark</w:t>
      </w:r>
      <w:proofErr w:type="spellEnd"/>
      <w:r w:rsidR="00354097" w:rsidRPr="00BB306E">
        <w:rPr>
          <w:rFonts w:ascii="Times New Roman" w:hAnsi="Times New Roman" w:cs="Times New Roman"/>
          <w:i/>
          <w:sz w:val="20"/>
          <w:szCs w:val="20"/>
        </w:rPr>
        <w:t xml:space="preserve"> Ltd v. Australia and New Zealand Banking Group Ltd</w:t>
      </w:r>
      <w:r w:rsidR="00354097" w:rsidRPr="00BB306E">
        <w:rPr>
          <w:rFonts w:ascii="Times New Roman" w:hAnsi="Times New Roman" w:cs="Times New Roman"/>
          <w:sz w:val="20"/>
          <w:szCs w:val="20"/>
        </w:rPr>
        <w:t>, and finally</w:t>
      </w:r>
      <w:r w:rsidR="0025352C" w:rsidRPr="00BB306E">
        <w:rPr>
          <w:rFonts w:ascii="Times New Roman" w:hAnsi="Times New Roman" w:cs="Times New Roman"/>
          <w:sz w:val="20"/>
          <w:szCs w:val="20"/>
        </w:rPr>
        <w:t>, for a comparative perspective</w:t>
      </w:r>
      <w:r w:rsidR="00354097" w:rsidRPr="00BB306E">
        <w:rPr>
          <w:rFonts w:ascii="Times New Roman" w:hAnsi="Times New Roman" w:cs="Times New Roman"/>
          <w:sz w:val="20"/>
          <w:szCs w:val="20"/>
        </w:rPr>
        <w:t>,</w:t>
      </w:r>
      <w:r w:rsidR="0025352C" w:rsidRPr="00BB306E">
        <w:rPr>
          <w:rFonts w:ascii="Times New Roman" w:hAnsi="Times New Roman" w:cs="Times New Roman"/>
          <w:sz w:val="20"/>
          <w:szCs w:val="20"/>
        </w:rPr>
        <w:t xml:space="preserve"> the U.S. case of</w:t>
      </w:r>
      <w:r w:rsidR="00354097" w:rsidRPr="00BB306E">
        <w:rPr>
          <w:rFonts w:ascii="Times New Roman" w:hAnsi="Times New Roman" w:cs="Times New Roman"/>
          <w:sz w:val="20"/>
          <w:szCs w:val="20"/>
        </w:rPr>
        <w:t xml:space="preserve"> </w:t>
      </w:r>
      <w:r w:rsidR="00354097" w:rsidRPr="00BB306E">
        <w:rPr>
          <w:rFonts w:ascii="Times New Roman" w:eastAsia="Times New Roman" w:hAnsi="Times New Roman" w:cs="Times New Roman"/>
          <w:i/>
          <w:iCs/>
          <w:sz w:val="20"/>
          <w:szCs w:val="20"/>
        </w:rPr>
        <w:t>Abu Dhabi Commercial Bank v. Morgan Stanley &amp; Co</w:t>
      </w:r>
      <w:r w:rsidR="0025352C" w:rsidRPr="00BB306E">
        <w:rPr>
          <w:rFonts w:ascii="Times New Roman" w:hAnsi="Times New Roman" w:cs="Times New Roman"/>
          <w:sz w:val="20"/>
          <w:szCs w:val="20"/>
        </w:rPr>
        <w:t xml:space="preserve">. </w:t>
      </w:r>
      <w:r w:rsidR="006E32C9" w:rsidRPr="00BB306E">
        <w:rPr>
          <w:rFonts w:ascii="Times New Roman" w:hAnsi="Times New Roman" w:cs="Times New Roman"/>
          <w:sz w:val="20"/>
          <w:szCs w:val="20"/>
        </w:rPr>
        <w:t xml:space="preserve">To account for the fact-intensive analysis courts provide on misrepresentation and negligence issues, this paper will detail the pertinent facts of the case as necessary to convey the court’s reasoning. </w:t>
      </w:r>
      <w:r w:rsidR="003F0E75" w:rsidRPr="00BB306E">
        <w:rPr>
          <w:rFonts w:ascii="Times New Roman" w:hAnsi="Times New Roman" w:cs="Times New Roman"/>
          <w:sz w:val="20"/>
          <w:szCs w:val="20"/>
        </w:rPr>
        <w:t xml:space="preserve">After each case, the implications </w:t>
      </w:r>
      <w:r w:rsidR="006E4242" w:rsidRPr="00BB306E">
        <w:rPr>
          <w:rFonts w:ascii="Times New Roman" w:hAnsi="Times New Roman" w:cs="Times New Roman"/>
          <w:sz w:val="20"/>
          <w:szCs w:val="20"/>
        </w:rPr>
        <w:t xml:space="preserve">of the judgment </w:t>
      </w:r>
      <w:r w:rsidR="00CE1C80" w:rsidRPr="00BB306E">
        <w:rPr>
          <w:rFonts w:ascii="Times New Roman" w:hAnsi="Times New Roman" w:cs="Times New Roman"/>
          <w:sz w:val="20"/>
          <w:szCs w:val="20"/>
        </w:rPr>
        <w:t>for</w:t>
      </w:r>
      <w:r w:rsidR="006E4242" w:rsidRPr="00BB306E">
        <w:rPr>
          <w:rFonts w:ascii="Times New Roman" w:hAnsi="Times New Roman" w:cs="Times New Roman"/>
          <w:sz w:val="20"/>
          <w:szCs w:val="20"/>
        </w:rPr>
        <w:t xml:space="preserve"> disclaimers </w:t>
      </w:r>
      <w:r w:rsidR="00CE1C80" w:rsidRPr="00BB306E">
        <w:rPr>
          <w:rFonts w:ascii="Times New Roman" w:hAnsi="Times New Roman" w:cs="Times New Roman"/>
          <w:sz w:val="20"/>
          <w:szCs w:val="20"/>
        </w:rPr>
        <w:t>and</w:t>
      </w:r>
      <w:r w:rsidR="00D32755" w:rsidRPr="00BB306E">
        <w:rPr>
          <w:rFonts w:ascii="Times New Roman" w:hAnsi="Times New Roman" w:cs="Times New Roman"/>
          <w:sz w:val="20"/>
          <w:szCs w:val="20"/>
        </w:rPr>
        <w:t xml:space="preserve"> arranging bank liability will be considered</w:t>
      </w:r>
      <w:r w:rsidR="008C2B5B" w:rsidRPr="00BB306E">
        <w:rPr>
          <w:rFonts w:ascii="Times New Roman" w:hAnsi="Times New Roman" w:cs="Times New Roman"/>
          <w:sz w:val="20"/>
          <w:szCs w:val="20"/>
        </w:rPr>
        <w:t>. Part IV concludes the paper.</w:t>
      </w:r>
    </w:p>
    <w:p w14:paraId="260A6281" w14:textId="77777777" w:rsidR="00B91F66" w:rsidRPr="00BB306E" w:rsidRDefault="00B91F66" w:rsidP="00BB306E">
      <w:pPr>
        <w:ind w:firstLine="720"/>
        <w:rPr>
          <w:rFonts w:ascii="Times New Roman" w:hAnsi="Times New Roman" w:cs="Times New Roman"/>
          <w:sz w:val="20"/>
          <w:szCs w:val="20"/>
        </w:rPr>
      </w:pPr>
    </w:p>
    <w:p w14:paraId="7CE16033" w14:textId="135CF563" w:rsidR="00DC770D" w:rsidRPr="00B467C3" w:rsidRDefault="00B91F66" w:rsidP="00BB306E">
      <w:pPr>
        <w:pStyle w:val="ListParagraph"/>
        <w:numPr>
          <w:ilvl w:val="0"/>
          <w:numId w:val="4"/>
        </w:numPr>
        <w:rPr>
          <w:rFonts w:ascii="Times New Roman" w:hAnsi="Times New Roman" w:cs="Times New Roman"/>
          <w:b/>
          <w:sz w:val="20"/>
          <w:szCs w:val="20"/>
        </w:rPr>
      </w:pPr>
      <w:r w:rsidRPr="00B467C3">
        <w:rPr>
          <w:rFonts w:ascii="Times New Roman" w:hAnsi="Times New Roman" w:cs="Times New Roman"/>
          <w:b/>
          <w:sz w:val="20"/>
          <w:szCs w:val="20"/>
        </w:rPr>
        <w:t xml:space="preserve">OVERVIEW OF SYNDICATED LOANS WITH RESPECT TO ARRANGING BANK LIABILITY </w:t>
      </w:r>
    </w:p>
    <w:p w14:paraId="78F63D43" w14:textId="77777777" w:rsidR="00B91F66" w:rsidRPr="00BB306E" w:rsidRDefault="00B91F66" w:rsidP="00BB306E">
      <w:pPr>
        <w:pStyle w:val="ListParagraph"/>
        <w:rPr>
          <w:rFonts w:ascii="Times New Roman" w:hAnsi="Times New Roman" w:cs="Times New Roman"/>
          <w:sz w:val="20"/>
          <w:szCs w:val="20"/>
        </w:rPr>
      </w:pPr>
    </w:p>
    <w:p w14:paraId="1D0B0286" w14:textId="77777777" w:rsidR="00B91F66" w:rsidRPr="00BB306E" w:rsidRDefault="00B91F66" w:rsidP="00BB306E">
      <w:pPr>
        <w:ind w:firstLine="720"/>
        <w:rPr>
          <w:rFonts w:ascii="Times New Roman" w:hAnsi="Times New Roman" w:cs="Times New Roman"/>
          <w:sz w:val="20"/>
          <w:szCs w:val="20"/>
        </w:rPr>
      </w:pPr>
      <w:r w:rsidRPr="00BB306E">
        <w:rPr>
          <w:rFonts w:ascii="Times New Roman" w:hAnsi="Times New Roman" w:cs="Times New Roman"/>
          <w:sz w:val="20"/>
          <w:szCs w:val="20"/>
        </w:rPr>
        <w:t>When banks lend large amounts of money, they may allocate the associated credit risk by lending as a group, or syndicate. This arrangement is called a syndicated loan. The facility can be complex, and it involves many entities with specific functions and responsibilities. The bank known as the arranging bank, or arranger, is responsible for organizing the syndicate and negotiating the loan documentation.</w:t>
      </w:r>
      <w:r w:rsidRPr="00BB306E">
        <w:rPr>
          <w:rStyle w:val="FootnoteReference"/>
          <w:rFonts w:ascii="Times New Roman" w:hAnsi="Times New Roman" w:cs="Times New Roman"/>
          <w:sz w:val="20"/>
          <w:szCs w:val="20"/>
        </w:rPr>
        <w:footnoteReference w:id="2"/>
      </w:r>
      <w:r w:rsidRPr="00BB306E">
        <w:rPr>
          <w:rFonts w:ascii="Times New Roman" w:hAnsi="Times New Roman" w:cs="Times New Roman"/>
          <w:sz w:val="20"/>
          <w:szCs w:val="20"/>
        </w:rPr>
        <w:t xml:space="preserve"> Among other duties, the arranger will distribute information about the investment to potential participants in a document known commonly known as an Informational Memorandum.</w:t>
      </w:r>
      <w:r w:rsidRPr="00BB306E">
        <w:rPr>
          <w:rStyle w:val="FootnoteReference"/>
          <w:rFonts w:ascii="Times New Roman" w:hAnsi="Times New Roman" w:cs="Times New Roman"/>
          <w:sz w:val="20"/>
          <w:szCs w:val="20"/>
        </w:rPr>
        <w:footnoteReference w:id="3"/>
      </w:r>
      <w:r w:rsidRPr="00BB306E">
        <w:rPr>
          <w:rFonts w:ascii="Times New Roman" w:hAnsi="Times New Roman" w:cs="Times New Roman"/>
          <w:sz w:val="20"/>
          <w:szCs w:val="20"/>
        </w:rPr>
        <w:t xml:space="preserve"> The Informational Memorandum explains the purpose of the loan and the borrower’s business and financial profile.</w:t>
      </w:r>
      <w:r w:rsidRPr="00BB306E">
        <w:rPr>
          <w:rStyle w:val="FootnoteReference"/>
          <w:rFonts w:ascii="Times New Roman" w:hAnsi="Times New Roman" w:cs="Times New Roman"/>
          <w:sz w:val="20"/>
          <w:szCs w:val="20"/>
        </w:rPr>
        <w:footnoteReference w:id="4"/>
      </w:r>
      <w:r w:rsidRPr="00BB306E">
        <w:rPr>
          <w:rFonts w:ascii="Times New Roman" w:hAnsi="Times New Roman" w:cs="Times New Roman"/>
          <w:sz w:val="20"/>
          <w:szCs w:val="20"/>
        </w:rPr>
        <w:t xml:space="preserve"> </w:t>
      </w:r>
    </w:p>
    <w:p w14:paraId="4A6C9CAE" w14:textId="77777777" w:rsidR="00B91F66" w:rsidRPr="00BB306E" w:rsidRDefault="00B91F66" w:rsidP="00BB306E">
      <w:pPr>
        <w:ind w:firstLine="720"/>
        <w:rPr>
          <w:rFonts w:ascii="Times New Roman" w:hAnsi="Times New Roman" w:cs="Times New Roman"/>
          <w:sz w:val="20"/>
          <w:szCs w:val="20"/>
        </w:rPr>
      </w:pPr>
      <w:r w:rsidRPr="00BB306E">
        <w:rPr>
          <w:rFonts w:ascii="Times New Roman" w:hAnsi="Times New Roman" w:cs="Times New Roman"/>
          <w:sz w:val="20"/>
          <w:szCs w:val="20"/>
        </w:rPr>
        <w:t>While the borrower is primarily responsible for the information contained in the Informational Memorandum, because the arranger distributes it to participants, in the event the borrower is unable to fulfill its obligations, the participants may bring claims against the arranger including common law misrepresentation, negligence, statutory misrepresentation under Section 2(1) of the Misrepresentation Act 1976, and breach of fiduciary duty.</w:t>
      </w:r>
      <w:r w:rsidRPr="00BB306E">
        <w:rPr>
          <w:rStyle w:val="FootnoteReference"/>
          <w:rFonts w:ascii="Times New Roman" w:hAnsi="Times New Roman" w:cs="Times New Roman"/>
          <w:sz w:val="20"/>
          <w:szCs w:val="20"/>
        </w:rPr>
        <w:footnoteReference w:id="5"/>
      </w:r>
      <w:r w:rsidRPr="00BB306E">
        <w:rPr>
          <w:rFonts w:ascii="Times New Roman" w:hAnsi="Times New Roman" w:cs="Times New Roman"/>
          <w:sz w:val="20"/>
          <w:szCs w:val="20"/>
        </w:rPr>
        <w:t xml:space="preserve"> </w:t>
      </w:r>
    </w:p>
    <w:p w14:paraId="431C538E" w14:textId="77777777" w:rsidR="00B91F66" w:rsidRPr="00BB306E" w:rsidRDefault="00B91F66" w:rsidP="00BB306E">
      <w:pPr>
        <w:rPr>
          <w:rFonts w:ascii="Times New Roman" w:hAnsi="Times New Roman" w:cs="Times New Roman"/>
          <w:sz w:val="20"/>
          <w:szCs w:val="20"/>
        </w:rPr>
      </w:pPr>
    </w:p>
    <w:p w14:paraId="3A04678A" w14:textId="5BE17A7C" w:rsidR="00CE76D6" w:rsidRPr="00B467C3" w:rsidRDefault="00CE76D6" w:rsidP="00BB306E">
      <w:pPr>
        <w:pStyle w:val="ListParagraph"/>
        <w:numPr>
          <w:ilvl w:val="0"/>
          <w:numId w:val="4"/>
        </w:numPr>
        <w:rPr>
          <w:rFonts w:ascii="Times New Roman" w:hAnsi="Times New Roman" w:cs="Times New Roman"/>
          <w:b/>
          <w:sz w:val="20"/>
          <w:szCs w:val="20"/>
        </w:rPr>
      </w:pPr>
      <w:r w:rsidRPr="00B467C3">
        <w:rPr>
          <w:rFonts w:ascii="Times New Roman" w:hAnsi="Times New Roman" w:cs="Times New Roman"/>
          <w:b/>
          <w:sz w:val="20"/>
          <w:szCs w:val="20"/>
        </w:rPr>
        <w:t xml:space="preserve">RECENT HIGH-PROFILE CASE LAW ON THE EFFECT OF DISCLAIMERS ON BANK LIABILITY </w:t>
      </w:r>
    </w:p>
    <w:p w14:paraId="02646BEF" w14:textId="77777777" w:rsidR="00CE76D6" w:rsidRPr="00BB306E" w:rsidRDefault="00CE76D6" w:rsidP="00BB306E">
      <w:pPr>
        <w:pStyle w:val="ListParagraph"/>
        <w:rPr>
          <w:rFonts w:ascii="Times New Roman" w:hAnsi="Times New Roman" w:cs="Times New Roman"/>
          <w:sz w:val="20"/>
          <w:szCs w:val="20"/>
        </w:rPr>
      </w:pPr>
    </w:p>
    <w:p w14:paraId="7424D843" w14:textId="705D17DE" w:rsidR="00CE76D6" w:rsidRPr="00B467C3" w:rsidRDefault="009F7F26" w:rsidP="00BB306E">
      <w:pPr>
        <w:pStyle w:val="ListParagraph"/>
        <w:numPr>
          <w:ilvl w:val="1"/>
          <w:numId w:val="4"/>
        </w:numPr>
        <w:rPr>
          <w:rFonts w:ascii="Times New Roman" w:hAnsi="Times New Roman" w:cs="Times New Roman"/>
          <w:color w:val="FF0000"/>
          <w:sz w:val="20"/>
          <w:szCs w:val="20"/>
          <w:u w:val="single"/>
        </w:rPr>
      </w:pPr>
      <w:r w:rsidRPr="00B467C3">
        <w:rPr>
          <w:rFonts w:ascii="Times New Roman" w:hAnsi="Times New Roman" w:cs="Times New Roman"/>
          <w:i/>
          <w:color w:val="FF0000"/>
          <w:sz w:val="20"/>
          <w:szCs w:val="20"/>
          <w:u w:val="single"/>
        </w:rPr>
        <w:t>IFE Fund SA v. Goldman Sachs International</w:t>
      </w:r>
    </w:p>
    <w:p w14:paraId="1E2DDB11" w14:textId="77777777" w:rsidR="009F7F26" w:rsidRPr="00BB306E" w:rsidRDefault="009F7F26" w:rsidP="00BB306E">
      <w:pPr>
        <w:rPr>
          <w:rFonts w:ascii="Times New Roman" w:hAnsi="Times New Roman" w:cs="Times New Roman"/>
          <w:i/>
          <w:sz w:val="20"/>
          <w:szCs w:val="20"/>
        </w:rPr>
      </w:pPr>
    </w:p>
    <w:p w14:paraId="1B65C8F5" w14:textId="77777777" w:rsidR="009F7F26" w:rsidRPr="00BB306E" w:rsidRDefault="00F43E35" w:rsidP="00BB306E">
      <w:pPr>
        <w:ind w:firstLine="1440"/>
        <w:rPr>
          <w:rFonts w:ascii="Times New Roman" w:hAnsi="Times New Roman" w:cs="Times New Roman"/>
          <w:sz w:val="20"/>
          <w:szCs w:val="20"/>
        </w:rPr>
      </w:pPr>
      <w:r w:rsidRPr="00BB306E">
        <w:rPr>
          <w:rFonts w:ascii="Times New Roman" w:hAnsi="Times New Roman" w:cs="Times New Roman"/>
          <w:i/>
          <w:sz w:val="20"/>
          <w:szCs w:val="20"/>
        </w:rPr>
        <w:t>IFE Funds</w:t>
      </w:r>
      <w:r w:rsidR="00540F94" w:rsidRPr="00BB306E">
        <w:rPr>
          <w:rFonts w:ascii="Times New Roman" w:hAnsi="Times New Roman" w:cs="Times New Roman"/>
          <w:sz w:val="20"/>
          <w:szCs w:val="20"/>
        </w:rPr>
        <w:t xml:space="preserve"> is a Court of Appeal case </w:t>
      </w:r>
      <w:r w:rsidR="00650680" w:rsidRPr="00BB306E">
        <w:rPr>
          <w:rFonts w:ascii="Times New Roman" w:hAnsi="Times New Roman" w:cs="Times New Roman"/>
          <w:sz w:val="20"/>
          <w:szCs w:val="20"/>
        </w:rPr>
        <w:t>where the court</w:t>
      </w:r>
      <w:r w:rsidR="00540F94" w:rsidRPr="00BB306E">
        <w:rPr>
          <w:rFonts w:ascii="Times New Roman" w:hAnsi="Times New Roman" w:cs="Times New Roman"/>
          <w:sz w:val="20"/>
          <w:szCs w:val="20"/>
        </w:rPr>
        <w:t xml:space="preserve"> found an arranging bank </w:t>
      </w:r>
      <w:r w:rsidR="007B1F4C" w:rsidRPr="00BB306E">
        <w:rPr>
          <w:rFonts w:ascii="Times New Roman" w:hAnsi="Times New Roman" w:cs="Times New Roman"/>
          <w:sz w:val="20"/>
          <w:szCs w:val="20"/>
        </w:rPr>
        <w:t xml:space="preserve">had no more than a good faith duty </w:t>
      </w:r>
      <w:r w:rsidR="00540F94" w:rsidRPr="00BB306E">
        <w:rPr>
          <w:rFonts w:ascii="Times New Roman" w:hAnsi="Times New Roman" w:cs="Times New Roman"/>
          <w:sz w:val="20"/>
          <w:szCs w:val="20"/>
        </w:rPr>
        <w:t xml:space="preserve">towards </w:t>
      </w:r>
      <w:r w:rsidR="00CA64D2" w:rsidRPr="00BB306E">
        <w:rPr>
          <w:rFonts w:ascii="Times New Roman" w:hAnsi="Times New Roman" w:cs="Times New Roman"/>
          <w:sz w:val="20"/>
          <w:szCs w:val="20"/>
        </w:rPr>
        <w:t xml:space="preserve">the plaintiff, </w:t>
      </w:r>
      <w:r w:rsidR="00540F94" w:rsidRPr="00BB306E">
        <w:rPr>
          <w:rFonts w:ascii="Times New Roman" w:hAnsi="Times New Roman" w:cs="Times New Roman"/>
          <w:sz w:val="20"/>
          <w:szCs w:val="20"/>
        </w:rPr>
        <w:t>a participant in the syndicate</w:t>
      </w:r>
      <w:r w:rsidR="00650680" w:rsidRPr="00BB306E">
        <w:rPr>
          <w:rFonts w:ascii="Times New Roman" w:hAnsi="Times New Roman" w:cs="Times New Roman"/>
          <w:sz w:val="20"/>
          <w:szCs w:val="20"/>
        </w:rPr>
        <w:t xml:space="preserve">, </w:t>
      </w:r>
      <w:r w:rsidR="00540F94" w:rsidRPr="00BB306E">
        <w:rPr>
          <w:rFonts w:ascii="Times New Roman" w:hAnsi="Times New Roman" w:cs="Times New Roman"/>
          <w:sz w:val="20"/>
          <w:szCs w:val="20"/>
        </w:rPr>
        <w:t xml:space="preserve">in light of the </w:t>
      </w:r>
      <w:r w:rsidR="00A648D3" w:rsidRPr="00BB306E">
        <w:rPr>
          <w:rFonts w:ascii="Times New Roman" w:hAnsi="Times New Roman" w:cs="Times New Roman"/>
          <w:sz w:val="20"/>
          <w:szCs w:val="20"/>
        </w:rPr>
        <w:t>bank’s</w:t>
      </w:r>
      <w:r w:rsidR="00540F94" w:rsidRPr="00BB306E">
        <w:rPr>
          <w:rFonts w:ascii="Times New Roman" w:hAnsi="Times New Roman" w:cs="Times New Roman"/>
          <w:sz w:val="20"/>
          <w:szCs w:val="20"/>
        </w:rPr>
        <w:t xml:space="preserve"> disclaimer</w:t>
      </w:r>
      <w:r w:rsidR="000F188D" w:rsidRPr="00BB306E">
        <w:rPr>
          <w:rFonts w:ascii="Times New Roman" w:hAnsi="Times New Roman" w:cs="Times New Roman"/>
          <w:sz w:val="20"/>
          <w:szCs w:val="20"/>
        </w:rPr>
        <w:t xml:space="preserve"> in the Information</w:t>
      </w:r>
      <w:r w:rsidR="00A648D3" w:rsidRPr="00BB306E">
        <w:rPr>
          <w:rFonts w:ascii="Times New Roman" w:hAnsi="Times New Roman" w:cs="Times New Roman"/>
          <w:sz w:val="20"/>
          <w:szCs w:val="20"/>
        </w:rPr>
        <w:t>al</w:t>
      </w:r>
      <w:r w:rsidR="000F188D" w:rsidRPr="00BB306E">
        <w:rPr>
          <w:rFonts w:ascii="Times New Roman" w:hAnsi="Times New Roman" w:cs="Times New Roman"/>
          <w:sz w:val="20"/>
          <w:szCs w:val="20"/>
        </w:rPr>
        <w:t xml:space="preserve"> Memora</w:t>
      </w:r>
      <w:r w:rsidR="009F74C5" w:rsidRPr="00BB306E">
        <w:rPr>
          <w:rFonts w:ascii="Times New Roman" w:hAnsi="Times New Roman" w:cs="Times New Roman"/>
          <w:sz w:val="20"/>
          <w:szCs w:val="20"/>
        </w:rPr>
        <w:t>n</w:t>
      </w:r>
      <w:r w:rsidR="000F188D" w:rsidRPr="00BB306E">
        <w:rPr>
          <w:rFonts w:ascii="Times New Roman" w:hAnsi="Times New Roman" w:cs="Times New Roman"/>
          <w:sz w:val="20"/>
          <w:szCs w:val="20"/>
        </w:rPr>
        <w:t>dum</w:t>
      </w:r>
      <w:r w:rsidR="00A648D3" w:rsidRPr="00BB306E">
        <w:rPr>
          <w:rFonts w:ascii="Times New Roman" w:hAnsi="Times New Roman" w:cs="Times New Roman"/>
          <w:sz w:val="20"/>
          <w:szCs w:val="20"/>
        </w:rPr>
        <w:t xml:space="preserve"> distributed to the participants</w:t>
      </w:r>
      <w:r w:rsidR="000F188D" w:rsidRPr="00BB306E">
        <w:rPr>
          <w:rFonts w:ascii="Times New Roman" w:hAnsi="Times New Roman" w:cs="Times New Roman"/>
          <w:sz w:val="20"/>
          <w:szCs w:val="20"/>
        </w:rPr>
        <w:t>.</w:t>
      </w:r>
      <w:r w:rsidR="00650680" w:rsidRPr="00BB306E">
        <w:rPr>
          <w:rStyle w:val="FootnoteReference"/>
          <w:rFonts w:ascii="Times New Roman" w:hAnsi="Times New Roman" w:cs="Times New Roman"/>
          <w:sz w:val="20"/>
          <w:szCs w:val="20"/>
        </w:rPr>
        <w:footnoteReference w:id="6"/>
      </w:r>
      <w:r w:rsidR="000F188D" w:rsidRPr="00BB306E">
        <w:rPr>
          <w:rFonts w:ascii="Times New Roman" w:hAnsi="Times New Roman" w:cs="Times New Roman"/>
          <w:sz w:val="20"/>
          <w:szCs w:val="20"/>
        </w:rPr>
        <w:t xml:space="preserve"> The Court of Appeal affirmed the Higher Court’s </w:t>
      </w:r>
      <w:r w:rsidR="00132593" w:rsidRPr="00BB306E">
        <w:rPr>
          <w:rFonts w:ascii="Times New Roman" w:hAnsi="Times New Roman" w:cs="Times New Roman"/>
          <w:sz w:val="20"/>
          <w:szCs w:val="20"/>
        </w:rPr>
        <w:t>rejection</w:t>
      </w:r>
      <w:r w:rsidR="000F188D" w:rsidRPr="00BB306E">
        <w:rPr>
          <w:rFonts w:ascii="Times New Roman" w:hAnsi="Times New Roman" w:cs="Times New Roman"/>
          <w:sz w:val="20"/>
          <w:szCs w:val="20"/>
        </w:rPr>
        <w:t xml:space="preserve"> of </w:t>
      </w:r>
      <w:r w:rsidR="007B086E" w:rsidRPr="00BB306E">
        <w:rPr>
          <w:rFonts w:ascii="Times New Roman" w:hAnsi="Times New Roman" w:cs="Times New Roman"/>
          <w:sz w:val="20"/>
          <w:szCs w:val="20"/>
        </w:rPr>
        <w:t>the</w:t>
      </w:r>
      <w:r w:rsidR="00540F94" w:rsidRPr="00BB306E">
        <w:rPr>
          <w:rFonts w:ascii="Times New Roman" w:hAnsi="Times New Roman" w:cs="Times New Roman"/>
          <w:sz w:val="20"/>
          <w:szCs w:val="20"/>
        </w:rPr>
        <w:t xml:space="preserve"> </w:t>
      </w:r>
      <w:r w:rsidR="00A648D3" w:rsidRPr="00BB306E">
        <w:rPr>
          <w:rFonts w:ascii="Times New Roman" w:hAnsi="Times New Roman" w:cs="Times New Roman"/>
          <w:sz w:val="20"/>
          <w:szCs w:val="20"/>
        </w:rPr>
        <w:lastRenderedPageBreak/>
        <w:t>plaintiff’s</w:t>
      </w:r>
      <w:r w:rsidR="00540F94" w:rsidRPr="00BB306E">
        <w:rPr>
          <w:rFonts w:ascii="Times New Roman" w:hAnsi="Times New Roman" w:cs="Times New Roman"/>
          <w:sz w:val="20"/>
          <w:szCs w:val="20"/>
        </w:rPr>
        <w:t xml:space="preserve"> negligence and misre</w:t>
      </w:r>
      <w:r w:rsidR="007B086E" w:rsidRPr="00BB306E">
        <w:rPr>
          <w:rFonts w:ascii="Times New Roman" w:hAnsi="Times New Roman" w:cs="Times New Roman"/>
          <w:sz w:val="20"/>
          <w:szCs w:val="20"/>
        </w:rPr>
        <w:t xml:space="preserve">presentation claims, which were based </w:t>
      </w:r>
      <w:r w:rsidR="00B554BD" w:rsidRPr="00BB306E">
        <w:rPr>
          <w:rFonts w:ascii="Times New Roman" w:hAnsi="Times New Roman" w:cs="Times New Roman"/>
          <w:sz w:val="20"/>
          <w:szCs w:val="20"/>
        </w:rPr>
        <w:t>partly</w:t>
      </w:r>
      <w:r w:rsidR="007B086E" w:rsidRPr="00BB306E">
        <w:rPr>
          <w:rFonts w:ascii="Times New Roman" w:hAnsi="Times New Roman" w:cs="Times New Roman"/>
          <w:sz w:val="20"/>
          <w:szCs w:val="20"/>
        </w:rPr>
        <w:t xml:space="preserve"> on </w:t>
      </w:r>
      <w:r w:rsidR="00A648D3" w:rsidRPr="00BB306E">
        <w:rPr>
          <w:rFonts w:ascii="Times New Roman" w:hAnsi="Times New Roman" w:cs="Times New Roman"/>
          <w:sz w:val="20"/>
          <w:szCs w:val="20"/>
        </w:rPr>
        <w:t>an argument that the</w:t>
      </w:r>
      <w:r w:rsidR="007B086E" w:rsidRPr="00BB306E">
        <w:rPr>
          <w:rFonts w:ascii="Times New Roman" w:hAnsi="Times New Roman" w:cs="Times New Roman"/>
          <w:sz w:val="20"/>
          <w:szCs w:val="20"/>
        </w:rPr>
        <w:t xml:space="preserve"> disclaimer </w:t>
      </w:r>
      <w:r w:rsidR="00A648D3" w:rsidRPr="00BB306E">
        <w:rPr>
          <w:rFonts w:ascii="Times New Roman" w:hAnsi="Times New Roman" w:cs="Times New Roman"/>
          <w:sz w:val="20"/>
          <w:szCs w:val="20"/>
        </w:rPr>
        <w:t xml:space="preserve">was an exclusion clause </w:t>
      </w:r>
      <w:r w:rsidR="00B554BD" w:rsidRPr="00BB306E">
        <w:rPr>
          <w:rFonts w:ascii="Times New Roman" w:hAnsi="Times New Roman" w:cs="Times New Roman"/>
          <w:sz w:val="20"/>
          <w:szCs w:val="20"/>
        </w:rPr>
        <w:t>and thus</w:t>
      </w:r>
      <w:r w:rsidR="00A648D3" w:rsidRPr="00BB306E">
        <w:rPr>
          <w:rFonts w:ascii="Times New Roman" w:hAnsi="Times New Roman" w:cs="Times New Roman"/>
          <w:sz w:val="20"/>
          <w:szCs w:val="20"/>
        </w:rPr>
        <w:t xml:space="preserve"> should be held to a reasonableness standard</w:t>
      </w:r>
      <w:r w:rsidR="000F188D" w:rsidRPr="00BB306E">
        <w:rPr>
          <w:rFonts w:ascii="Times New Roman" w:hAnsi="Times New Roman" w:cs="Times New Roman"/>
          <w:sz w:val="20"/>
          <w:szCs w:val="20"/>
        </w:rPr>
        <w:t>.</w:t>
      </w:r>
      <w:r w:rsidR="007B1F4C" w:rsidRPr="00BB306E">
        <w:rPr>
          <w:rStyle w:val="FootnoteReference"/>
          <w:rFonts w:ascii="Times New Roman" w:hAnsi="Times New Roman" w:cs="Times New Roman"/>
          <w:sz w:val="20"/>
          <w:szCs w:val="20"/>
        </w:rPr>
        <w:footnoteReference w:id="7"/>
      </w:r>
      <w:r w:rsidR="000F188D" w:rsidRPr="00BB306E">
        <w:rPr>
          <w:rFonts w:ascii="Times New Roman" w:hAnsi="Times New Roman" w:cs="Times New Roman"/>
          <w:sz w:val="20"/>
          <w:szCs w:val="20"/>
        </w:rPr>
        <w:t xml:space="preserve"> </w:t>
      </w:r>
    </w:p>
    <w:p w14:paraId="36DB2709" w14:textId="77777777" w:rsidR="008E55DB" w:rsidRPr="00BB306E" w:rsidRDefault="008E55DB" w:rsidP="00BB306E">
      <w:pPr>
        <w:ind w:firstLine="2160"/>
        <w:rPr>
          <w:rFonts w:ascii="Times New Roman" w:hAnsi="Times New Roman" w:cs="Times New Roman"/>
          <w:sz w:val="20"/>
          <w:szCs w:val="20"/>
        </w:rPr>
      </w:pPr>
    </w:p>
    <w:p w14:paraId="4CB42ACF" w14:textId="318C4524" w:rsidR="008E55DB" w:rsidRPr="00BB306E" w:rsidRDefault="008E55DB" w:rsidP="00BB306E">
      <w:pPr>
        <w:pStyle w:val="ListParagraph"/>
        <w:numPr>
          <w:ilvl w:val="2"/>
          <w:numId w:val="4"/>
        </w:numPr>
        <w:rPr>
          <w:rFonts w:ascii="Times New Roman" w:hAnsi="Times New Roman" w:cs="Times New Roman"/>
          <w:sz w:val="20"/>
          <w:szCs w:val="20"/>
        </w:rPr>
      </w:pPr>
      <w:r w:rsidRPr="00BB306E">
        <w:rPr>
          <w:rFonts w:ascii="Times New Roman" w:hAnsi="Times New Roman" w:cs="Times New Roman"/>
          <w:sz w:val="20"/>
          <w:szCs w:val="20"/>
          <w:u w:val="single"/>
        </w:rPr>
        <w:t>Summary and Analysis</w:t>
      </w:r>
    </w:p>
    <w:p w14:paraId="7DF575C6" w14:textId="77777777" w:rsidR="008E55DB" w:rsidRPr="00BB306E" w:rsidRDefault="008E55DB" w:rsidP="00BB306E">
      <w:pPr>
        <w:rPr>
          <w:rFonts w:ascii="Times New Roman" w:hAnsi="Times New Roman" w:cs="Times New Roman"/>
          <w:sz w:val="20"/>
          <w:szCs w:val="20"/>
        </w:rPr>
      </w:pPr>
    </w:p>
    <w:p w14:paraId="62377AB4" w14:textId="77777777" w:rsidR="00D4314C" w:rsidRPr="00BB306E" w:rsidRDefault="004414D0" w:rsidP="00BB306E">
      <w:pPr>
        <w:ind w:firstLine="2160"/>
        <w:rPr>
          <w:rFonts w:ascii="Times New Roman" w:hAnsi="Times New Roman" w:cs="Times New Roman"/>
          <w:sz w:val="20"/>
          <w:szCs w:val="20"/>
        </w:rPr>
      </w:pPr>
      <w:r w:rsidRPr="00BB306E">
        <w:rPr>
          <w:rFonts w:ascii="Times New Roman" w:hAnsi="Times New Roman" w:cs="Times New Roman"/>
          <w:sz w:val="20"/>
          <w:szCs w:val="20"/>
        </w:rPr>
        <w:t>Gold</w:t>
      </w:r>
      <w:r w:rsidR="00690ACF" w:rsidRPr="00BB306E">
        <w:rPr>
          <w:rFonts w:ascii="Times New Roman" w:hAnsi="Times New Roman" w:cs="Times New Roman"/>
          <w:sz w:val="20"/>
          <w:szCs w:val="20"/>
        </w:rPr>
        <w:t>man Sachs International (“GSI”) was the underwriter and arranger of a facility that partly financed an acquisition.</w:t>
      </w:r>
      <w:r w:rsidR="00690ACF" w:rsidRPr="00BB306E">
        <w:rPr>
          <w:rStyle w:val="FootnoteReference"/>
          <w:rFonts w:ascii="Times New Roman" w:hAnsi="Times New Roman" w:cs="Times New Roman"/>
          <w:sz w:val="20"/>
          <w:szCs w:val="20"/>
        </w:rPr>
        <w:t xml:space="preserve"> </w:t>
      </w:r>
      <w:r w:rsidR="00690ACF" w:rsidRPr="00BB306E">
        <w:rPr>
          <w:rStyle w:val="FootnoteReference"/>
          <w:rFonts w:ascii="Times New Roman" w:hAnsi="Times New Roman" w:cs="Times New Roman"/>
          <w:sz w:val="20"/>
          <w:szCs w:val="20"/>
        </w:rPr>
        <w:footnoteReference w:id="8"/>
      </w:r>
      <w:r w:rsidR="00690ACF" w:rsidRPr="00BB306E">
        <w:rPr>
          <w:rFonts w:ascii="Times New Roman" w:hAnsi="Times New Roman" w:cs="Times New Roman"/>
          <w:sz w:val="20"/>
          <w:szCs w:val="20"/>
        </w:rPr>
        <w:t xml:space="preserve"> </w:t>
      </w:r>
      <w:r w:rsidRPr="00BB306E">
        <w:rPr>
          <w:rFonts w:ascii="Times New Roman" w:hAnsi="Times New Roman" w:cs="Times New Roman"/>
          <w:sz w:val="20"/>
          <w:szCs w:val="20"/>
        </w:rPr>
        <w:t xml:space="preserve">IFE Fund SA (“IFE”) </w:t>
      </w:r>
      <w:r w:rsidR="00690ACF" w:rsidRPr="00BB306E">
        <w:rPr>
          <w:rFonts w:ascii="Times New Roman" w:hAnsi="Times New Roman" w:cs="Times New Roman"/>
          <w:sz w:val="20"/>
          <w:szCs w:val="20"/>
        </w:rPr>
        <w:t>purchased bonds and warrants issued by the acquiring company from GSI</w:t>
      </w:r>
      <w:r w:rsidRPr="00BB306E">
        <w:rPr>
          <w:rFonts w:ascii="Times New Roman" w:hAnsi="Times New Roman" w:cs="Times New Roman"/>
          <w:sz w:val="20"/>
          <w:szCs w:val="20"/>
        </w:rPr>
        <w:t xml:space="preserve"> € 20 million.</w:t>
      </w:r>
      <w:r w:rsidRPr="00BB306E">
        <w:rPr>
          <w:rStyle w:val="FootnoteReference"/>
          <w:rFonts w:ascii="Times New Roman" w:hAnsi="Times New Roman" w:cs="Times New Roman"/>
          <w:sz w:val="20"/>
          <w:szCs w:val="20"/>
        </w:rPr>
        <w:footnoteReference w:id="9"/>
      </w:r>
      <w:r w:rsidR="009F7F26" w:rsidRPr="00BB306E">
        <w:rPr>
          <w:rFonts w:ascii="Times New Roman" w:hAnsi="Times New Roman" w:cs="Times New Roman"/>
          <w:sz w:val="20"/>
          <w:szCs w:val="20"/>
        </w:rPr>
        <w:t xml:space="preserve"> </w:t>
      </w:r>
      <w:r w:rsidR="005014D9" w:rsidRPr="00BB306E">
        <w:rPr>
          <w:rFonts w:ascii="Times New Roman" w:hAnsi="Times New Roman" w:cs="Times New Roman"/>
          <w:sz w:val="20"/>
          <w:szCs w:val="20"/>
        </w:rPr>
        <w:t xml:space="preserve">Two months </w:t>
      </w:r>
      <w:r w:rsidR="00690ACF" w:rsidRPr="00BB306E">
        <w:rPr>
          <w:rFonts w:ascii="Times New Roman" w:hAnsi="Times New Roman" w:cs="Times New Roman"/>
          <w:sz w:val="20"/>
          <w:szCs w:val="20"/>
        </w:rPr>
        <w:t>before IFE’s purchase</w:t>
      </w:r>
      <w:r w:rsidR="005014D9" w:rsidRPr="00BB306E">
        <w:rPr>
          <w:rFonts w:ascii="Times New Roman" w:hAnsi="Times New Roman" w:cs="Times New Roman"/>
          <w:sz w:val="20"/>
          <w:szCs w:val="20"/>
        </w:rPr>
        <w:t xml:space="preserve">, GSI provided an Informational Memorandum (“IM”) </w:t>
      </w:r>
      <w:r w:rsidR="00690ACF" w:rsidRPr="00BB306E">
        <w:rPr>
          <w:rFonts w:ascii="Times New Roman" w:hAnsi="Times New Roman" w:cs="Times New Roman"/>
          <w:sz w:val="20"/>
          <w:szCs w:val="20"/>
        </w:rPr>
        <w:t>to</w:t>
      </w:r>
      <w:r w:rsidR="005014D9" w:rsidRPr="00BB306E">
        <w:rPr>
          <w:rFonts w:ascii="Times New Roman" w:hAnsi="Times New Roman" w:cs="Times New Roman"/>
          <w:sz w:val="20"/>
          <w:szCs w:val="20"/>
        </w:rPr>
        <w:t xml:space="preserve"> IFE.</w:t>
      </w:r>
      <w:r w:rsidR="005014D9" w:rsidRPr="00BB306E">
        <w:rPr>
          <w:rStyle w:val="FootnoteReference"/>
          <w:rFonts w:ascii="Times New Roman" w:hAnsi="Times New Roman" w:cs="Times New Roman"/>
          <w:sz w:val="20"/>
          <w:szCs w:val="20"/>
        </w:rPr>
        <w:t xml:space="preserve"> </w:t>
      </w:r>
      <w:r w:rsidR="005014D9" w:rsidRPr="00BB306E">
        <w:rPr>
          <w:rStyle w:val="FootnoteReference"/>
          <w:rFonts w:ascii="Times New Roman" w:hAnsi="Times New Roman" w:cs="Times New Roman"/>
          <w:sz w:val="20"/>
          <w:szCs w:val="20"/>
        </w:rPr>
        <w:footnoteReference w:id="10"/>
      </w:r>
      <w:r w:rsidR="005014D9" w:rsidRPr="00BB306E">
        <w:rPr>
          <w:rFonts w:ascii="Times New Roman" w:hAnsi="Times New Roman" w:cs="Times New Roman"/>
          <w:sz w:val="20"/>
          <w:szCs w:val="20"/>
        </w:rPr>
        <w:t xml:space="preserve"> The IM contained an “Important Notice” (“Notice”</w:t>
      </w:r>
      <w:r w:rsidR="00690ACF" w:rsidRPr="00BB306E">
        <w:rPr>
          <w:rFonts w:ascii="Times New Roman" w:hAnsi="Times New Roman" w:cs="Times New Roman"/>
          <w:sz w:val="20"/>
          <w:szCs w:val="20"/>
        </w:rPr>
        <w:t>) that</w:t>
      </w:r>
      <w:r w:rsidR="005014D9" w:rsidRPr="00BB306E">
        <w:rPr>
          <w:rFonts w:ascii="Times New Roman" w:hAnsi="Times New Roman" w:cs="Times New Roman"/>
          <w:sz w:val="20"/>
          <w:szCs w:val="20"/>
        </w:rPr>
        <w:t xml:space="preserve"> limited the scope of GSI’s responsibility for the information provided in the IM.</w:t>
      </w:r>
      <w:r w:rsidR="00D12609" w:rsidRPr="00BB306E">
        <w:rPr>
          <w:rFonts w:ascii="Times New Roman" w:hAnsi="Times New Roman" w:cs="Times New Roman"/>
          <w:sz w:val="20"/>
          <w:szCs w:val="20"/>
        </w:rPr>
        <w:t xml:space="preserve"> Namely, it said that GSI did not independently verify the information, made no express or implied representations about its accuracy, and that the information would not be updated.</w:t>
      </w:r>
      <w:r w:rsidR="000065B9" w:rsidRPr="00BB306E">
        <w:rPr>
          <w:rStyle w:val="FootnoteReference"/>
          <w:rFonts w:ascii="Times New Roman" w:hAnsi="Times New Roman" w:cs="Times New Roman"/>
          <w:sz w:val="20"/>
          <w:szCs w:val="20"/>
        </w:rPr>
        <w:t xml:space="preserve"> </w:t>
      </w:r>
      <w:r w:rsidR="000065B9" w:rsidRPr="00BB306E">
        <w:rPr>
          <w:rStyle w:val="FootnoteReference"/>
          <w:rFonts w:ascii="Times New Roman" w:hAnsi="Times New Roman" w:cs="Times New Roman"/>
          <w:sz w:val="20"/>
          <w:szCs w:val="20"/>
        </w:rPr>
        <w:footnoteReference w:id="11"/>
      </w:r>
      <w:r w:rsidR="000065B9" w:rsidRPr="00BB306E">
        <w:rPr>
          <w:rFonts w:ascii="Times New Roman" w:hAnsi="Times New Roman" w:cs="Times New Roman"/>
          <w:sz w:val="20"/>
          <w:szCs w:val="20"/>
        </w:rPr>
        <w:t xml:space="preserve"> </w:t>
      </w:r>
      <w:r w:rsidR="00B554BD" w:rsidRPr="00BB306E">
        <w:rPr>
          <w:rFonts w:ascii="Times New Roman" w:hAnsi="Times New Roman" w:cs="Times New Roman"/>
          <w:sz w:val="20"/>
          <w:szCs w:val="20"/>
        </w:rPr>
        <w:t>T</w:t>
      </w:r>
      <w:r w:rsidR="000065B9" w:rsidRPr="00BB306E">
        <w:rPr>
          <w:rFonts w:ascii="Times New Roman" w:hAnsi="Times New Roman" w:cs="Times New Roman"/>
          <w:sz w:val="20"/>
          <w:szCs w:val="20"/>
        </w:rPr>
        <w:t>hese were standard market terms.</w:t>
      </w:r>
      <w:r w:rsidR="000065B9" w:rsidRPr="00BB306E">
        <w:rPr>
          <w:rStyle w:val="FootnoteReference"/>
          <w:rFonts w:ascii="Times New Roman" w:hAnsi="Times New Roman" w:cs="Times New Roman"/>
          <w:sz w:val="20"/>
          <w:szCs w:val="20"/>
        </w:rPr>
        <w:footnoteReference w:id="12"/>
      </w:r>
      <w:r w:rsidR="005014D9" w:rsidRPr="00BB306E">
        <w:rPr>
          <w:rFonts w:ascii="Times New Roman" w:hAnsi="Times New Roman" w:cs="Times New Roman"/>
          <w:sz w:val="20"/>
          <w:szCs w:val="20"/>
        </w:rPr>
        <w:t xml:space="preserve"> </w:t>
      </w:r>
      <w:r w:rsidR="000B6CA4" w:rsidRPr="00BB306E">
        <w:rPr>
          <w:rFonts w:ascii="Times New Roman" w:hAnsi="Times New Roman" w:cs="Times New Roman"/>
          <w:sz w:val="20"/>
          <w:szCs w:val="20"/>
        </w:rPr>
        <w:t xml:space="preserve">After GSI sent out the IM, they received two reports </w:t>
      </w:r>
      <w:r w:rsidR="00B554BD" w:rsidRPr="00BB306E">
        <w:rPr>
          <w:rFonts w:ascii="Times New Roman" w:hAnsi="Times New Roman" w:cs="Times New Roman"/>
          <w:sz w:val="20"/>
          <w:szCs w:val="20"/>
        </w:rPr>
        <w:t>indicating that</w:t>
      </w:r>
      <w:r w:rsidR="000B6CA4" w:rsidRPr="00BB306E">
        <w:rPr>
          <w:rFonts w:ascii="Times New Roman" w:hAnsi="Times New Roman" w:cs="Times New Roman"/>
          <w:sz w:val="20"/>
          <w:szCs w:val="20"/>
        </w:rPr>
        <w:t xml:space="preserve"> certain information in the IM about the</w:t>
      </w:r>
      <w:r w:rsidR="00690ACF" w:rsidRPr="00BB306E">
        <w:rPr>
          <w:rFonts w:ascii="Times New Roman" w:hAnsi="Times New Roman" w:cs="Times New Roman"/>
          <w:sz w:val="20"/>
          <w:szCs w:val="20"/>
        </w:rPr>
        <w:t xml:space="preserve"> target company’s</w:t>
      </w:r>
      <w:r w:rsidR="000B6CA4" w:rsidRPr="00BB306E">
        <w:rPr>
          <w:rFonts w:ascii="Times New Roman" w:hAnsi="Times New Roman" w:cs="Times New Roman"/>
          <w:sz w:val="20"/>
          <w:szCs w:val="20"/>
        </w:rPr>
        <w:t xml:space="preserve"> financial performance </w:t>
      </w:r>
      <w:r w:rsidR="00B554BD" w:rsidRPr="00BB306E">
        <w:rPr>
          <w:rFonts w:ascii="Times New Roman" w:hAnsi="Times New Roman" w:cs="Times New Roman"/>
          <w:sz w:val="20"/>
          <w:szCs w:val="20"/>
        </w:rPr>
        <w:t>might</w:t>
      </w:r>
      <w:r w:rsidR="000B6CA4" w:rsidRPr="00BB306E">
        <w:rPr>
          <w:rFonts w:ascii="Times New Roman" w:hAnsi="Times New Roman" w:cs="Times New Roman"/>
          <w:sz w:val="20"/>
          <w:szCs w:val="20"/>
        </w:rPr>
        <w:t xml:space="preserve"> have been materially incorrect.</w:t>
      </w:r>
      <w:r w:rsidR="000B6CA4" w:rsidRPr="00BB306E">
        <w:rPr>
          <w:rStyle w:val="FootnoteReference"/>
          <w:rFonts w:ascii="Times New Roman" w:hAnsi="Times New Roman" w:cs="Times New Roman"/>
          <w:sz w:val="20"/>
          <w:szCs w:val="20"/>
        </w:rPr>
        <w:footnoteReference w:id="13"/>
      </w:r>
      <w:r w:rsidR="000B6CA4" w:rsidRPr="00BB306E">
        <w:rPr>
          <w:rFonts w:ascii="Times New Roman" w:hAnsi="Times New Roman" w:cs="Times New Roman"/>
          <w:sz w:val="20"/>
          <w:szCs w:val="20"/>
        </w:rPr>
        <w:t xml:space="preserve"> GSI did not pass on this information to IFE before IFE </w:t>
      </w:r>
      <w:r w:rsidR="00B554BD" w:rsidRPr="00BB306E">
        <w:rPr>
          <w:rFonts w:ascii="Times New Roman" w:hAnsi="Times New Roman" w:cs="Times New Roman"/>
          <w:sz w:val="20"/>
          <w:szCs w:val="20"/>
        </w:rPr>
        <w:t>made its investment</w:t>
      </w:r>
      <w:r w:rsidR="000B6CA4" w:rsidRPr="00BB306E">
        <w:rPr>
          <w:rFonts w:ascii="Times New Roman" w:hAnsi="Times New Roman" w:cs="Times New Roman"/>
          <w:sz w:val="20"/>
          <w:szCs w:val="20"/>
        </w:rPr>
        <w:t xml:space="preserve">. </w:t>
      </w:r>
      <w:r w:rsidR="00D039D4" w:rsidRPr="00BB306E">
        <w:rPr>
          <w:rFonts w:ascii="Times New Roman" w:hAnsi="Times New Roman" w:cs="Times New Roman"/>
          <w:sz w:val="20"/>
          <w:szCs w:val="20"/>
        </w:rPr>
        <w:t xml:space="preserve">The acquisition </w:t>
      </w:r>
      <w:r w:rsidR="00B554BD" w:rsidRPr="00BB306E">
        <w:rPr>
          <w:rFonts w:ascii="Times New Roman" w:hAnsi="Times New Roman" w:cs="Times New Roman"/>
          <w:sz w:val="20"/>
          <w:szCs w:val="20"/>
        </w:rPr>
        <w:t xml:space="preserve">IFE partly financed </w:t>
      </w:r>
      <w:r w:rsidR="00D039D4" w:rsidRPr="00BB306E">
        <w:rPr>
          <w:rFonts w:ascii="Times New Roman" w:hAnsi="Times New Roman" w:cs="Times New Roman"/>
          <w:sz w:val="20"/>
          <w:szCs w:val="20"/>
        </w:rPr>
        <w:t>was</w:t>
      </w:r>
      <w:r w:rsidR="000B6CA4" w:rsidRPr="00BB306E">
        <w:rPr>
          <w:rFonts w:ascii="Times New Roman" w:hAnsi="Times New Roman" w:cs="Times New Roman"/>
          <w:sz w:val="20"/>
          <w:szCs w:val="20"/>
        </w:rPr>
        <w:t xml:space="preserve"> unsuccessful, and </w:t>
      </w:r>
      <w:r w:rsidR="00D039D4" w:rsidRPr="00BB306E">
        <w:rPr>
          <w:rFonts w:ascii="Times New Roman" w:hAnsi="Times New Roman" w:cs="Times New Roman"/>
          <w:sz w:val="20"/>
          <w:szCs w:val="20"/>
        </w:rPr>
        <w:t>the target</w:t>
      </w:r>
      <w:r w:rsidR="000B6CA4" w:rsidRPr="00BB306E">
        <w:rPr>
          <w:rFonts w:ascii="Times New Roman" w:hAnsi="Times New Roman" w:cs="Times New Roman"/>
          <w:sz w:val="20"/>
          <w:szCs w:val="20"/>
        </w:rPr>
        <w:t xml:space="preserve"> was placed in receivership.</w:t>
      </w:r>
      <w:r w:rsidR="000B6CA4" w:rsidRPr="00BB306E">
        <w:rPr>
          <w:rStyle w:val="FootnoteReference"/>
          <w:rFonts w:ascii="Times New Roman" w:hAnsi="Times New Roman" w:cs="Times New Roman"/>
          <w:sz w:val="20"/>
          <w:szCs w:val="20"/>
        </w:rPr>
        <w:t xml:space="preserve"> </w:t>
      </w:r>
      <w:r w:rsidR="000B6CA4" w:rsidRPr="00BB306E">
        <w:rPr>
          <w:rStyle w:val="FootnoteReference"/>
          <w:rFonts w:ascii="Times New Roman" w:hAnsi="Times New Roman" w:cs="Times New Roman"/>
          <w:sz w:val="20"/>
          <w:szCs w:val="20"/>
        </w:rPr>
        <w:footnoteReference w:id="14"/>
      </w:r>
      <w:r w:rsidR="000B6CA4" w:rsidRPr="00BB306E">
        <w:rPr>
          <w:rFonts w:ascii="Times New Roman" w:hAnsi="Times New Roman" w:cs="Times New Roman"/>
          <w:sz w:val="20"/>
          <w:szCs w:val="20"/>
        </w:rPr>
        <w:t xml:space="preserve"> Seeking damages for its loss, IFE brought </w:t>
      </w:r>
      <w:r w:rsidR="004C09D3" w:rsidRPr="00BB306E">
        <w:rPr>
          <w:rFonts w:ascii="Times New Roman" w:hAnsi="Times New Roman" w:cs="Times New Roman"/>
          <w:sz w:val="20"/>
          <w:szCs w:val="20"/>
        </w:rPr>
        <w:t xml:space="preserve">claims against GSI for misrepresentation under s 2(1) of the Misrepresentation Act 1976 </w:t>
      </w:r>
      <w:r w:rsidR="00B554BD" w:rsidRPr="00BB306E">
        <w:rPr>
          <w:rFonts w:ascii="Times New Roman" w:hAnsi="Times New Roman" w:cs="Times New Roman"/>
          <w:sz w:val="20"/>
          <w:szCs w:val="20"/>
        </w:rPr>
        <w:t>as well as</w:t>
      </w:r>
      <w:r w:rsidR="004C09D3" w:rsidRPr="00BB306E">
        <w:rPr>
          <w:rFonts w:ascii="Times New Roman" w:hAnsi="Times New Roman" w:cs="Times New Roman"/>
          <w:sz w:val="20"/>
          <w:szCs w:val="20"/>
        </w:rPr>
        <w:t xml:space="preserve"> negligence claims: </w:t>
      </w:r>
      <w:r w:rsidR="00D12609" w:rsidRPr="00BB306E">
        <w:rPr>
          <w:rFonts w:ascii="Times New Roman" w:hAnsi="Times New Roman" w:cs="Times New Roman"/>
          <w:sz w:val="20"/>
          <w:szCs w:val="20"/>
        </w:rPr>
        <w:t xml:space="preserve">the tort of </w:t>
      </w:r>
      <w:r w:rsidR="004C09D3" w:rsidRPr="00BB306E">
        <w:rPr>
          <w:rFonts w:ascii="Times New Roman" w:hAnsi="Times New Roman" w:cs="Times New Roman"/>
          <w:sz w:val="20"/>
          <w:szCs w:val="20"/>
        </w:rPr>
        <w:t>negligent misstatement</w:t>
      </w:r>
      <w:r w:rsidR="00B554BD" w:rsidRPr="00BB306E">
        <w:rPr>
          <w:rFonts w:ascii="Times New Roman" w:hAnsi="Times New Roman" w:cs="Times New Roman"/>
          <w:sz w:val="20"/>
          <w:szCs w:val="20"/>
        </w:rPr>
        <w:t>,</w:t>
      </w:r>
      <w:r w:rsidR="004C09D3" w:rsidRPr="00BB306E">
        <w:rPr>
          <w:rFonts w:ascii="Times New Roman" w:hAnsi="Times New Roman" w:cs="Times New Roman"/>
          <w:sz w:val="20"/>
          <w:szCs w:val="20"/>
        </w:rPr>
        <w:t xml:space="preserve"> and </w:t>
      </w:r>
      <w:r w:rsidR="00B554BD" w:rsidRPr="00BB306E">
        <w:rPr>
          <w:rFonts w:ascii="Times New Roman" w:hAnsi="Times New Roman" w:cs="Times New Roman"/>
          <w:sz w:val="20"/>
          <w:szCs w:val="20"/>
        </w:rPr>
        <w:t xml:space="preserve">in the alternative, </w:t>
      </w:r>
      <w:r w:rsidR="00D12609" w:rsidRPr="00BB306E">
        <w:rPr>
          <w:rFonts w:ascii="Times New Roman" w:hAnsi="Times New Roman" w:cs="Times New Roman"/>
          <w:sz w:val="20"/>
          <w:szCs w:val="20"/>
        </w:rPr>
        <w:t xml:space="preserve">a </w:t>
      </w:r>
      <w:r w:rsidR="004C09D3" w:rsidRPr="00BB306E">
        <w:rPr>
          <w:rFonts w:ascii="Times New Roman" w:hAnsi="Times New Roman" w:cs="Times New Roman"/>
          <w:sz w:val="20"/>
          <w:szCs w:val="20"/>
        </w:rPr>
        <w:t>breach of duty of care to inform.</w:t>
      </w:r>
      <w:r w:rsidR="004C09D3" w:rsidRPr="00BB306E">
        <w:rPr>
          <w:rStyle w:val="FootnoteReference"/>
          <w:rFonts w:ascii="Times New Roman" w:hAnsi="Times New Roman" w:cs="Times New Roman"/>
          <w:sz w:val="20"/>
          <w:szCs w:val="20"/>
        </w:rPr>
        <w:footnoteReference w:id="15"/>
      </w:r>
    </w:p>
    <w:p w14:paraId="5715453A" w14:textId="77777777" w:rsidR="00DC770D" w:rsidRPr="00BB306E" w:rsidRDefault="00752230"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The issue </w:t>
      </w:r>
      <w:r w:rsidR="004C09D3" w:rsidRPr="00BB306E">
        <w:rPr>
          <w:rFonts w:ascii="Times New Roman" w:hAnsi="Times New Roman" w:cs="Times New Roman"/>
          <w:sz w:val="20"/>
          <w:szCs w:val="20"/>
        </w:rPr>
        <w:t>relevant to these claims was</w:t>
      </w:r>
      <w:r w:rsidRPr="00BB306E">
        <w:rPr>
          <w:rFonts w:ascii="Times New Roman" w:hAnsi="Times New Roman" w:cs="Times New Roman"/>
          <w:sz w:val="20"/>
          <w:szCs w:val="20"/>
        </w:rPr>
        <w:t xml:space="preserve"> whether GSI made an implied representation in the disclaimer that obligated it to update IFE about the borrower’s financials</w:t>
      </w:r>
      <w:r w:rsidR="004C09D3" w:rsidRPr="00BB306E">
        <w:rPr>
          <w:rFonts w:ascii="Times New Roman" w:hAnsi="Times New Roman" w:cs="Times New Roman"/>
          <w:sz w:val="20"/>
          <w:szCs w:val="20"/>
        </w:rPr>
        <w:t>.</w:t>
      </w:r>
      <w:r w:rsidR="004C09D3" w:rsidRPr="00BB306E">
        <w:rPr>
          <w:rStyle w:val="FootnoteReference"/>
          <w:rFonts w:ascii="Times New Roman" w:hAnsi="Times New Roman" w:cs="Times New Roman"/>
          <w:sz w:val="20"/>
          <w:szCs w:val="20"/>
        </w:rPr>
        <w:t xml:space="preserve"> </w:t>
      </w:r>
      <w:r w:rsidR="004C09D3" w:rsidRPr="00BB306E">
        <w:rPr>
          <w:rStyle w:val="FootnoteReference"/>
          <w:rFonts w:ascii="Times New Roman" w:hAnsi="Times New Roman" w:cs="Times New Roman"/>
          <w:sz w:val="20"/>
          <w:szCs w:val="20"/>
        </w:rPr>
        <w:footnoteReference w:id="16"/>
      </w:r>
      <w:r w:rsidR="00D4314C" w:rsidRPr="00BB306E">
        <w:rPr>
          <w:rFonts w:ascii="Times New Roman" w:hAnsi="Times New Roman" w:cs="Times New Roman"/>
          <w:sz w:val="20"/>
          <w:szCs w:val="20"/>
        </w:rPr>
        <w:t xml:space="preserve"> </w:t>
      </w:r>
      <w:r w:rsidR="009C01FD" w:rsidRPr="00BB306E">
        <w:rPr>
          <w:rFonts w:ascii="Times New Roman" w:hAnsi="Times New Roman" w:cs="Times New Roman"/>
          <w:sz w:val="20"/>
          <w:szCs w:val="20"/>
        </w:rPr>
        <w:t xml:space="preserve">At the High Court, </w:t>
      </w:r>
      <w:proofErr w:type="spellStart"/>
      <w:r w:rsidR="009C01FD" w:rsidRPr="00BB306E">
        <w:rPr>
          <w:rFonts w:ascii="Times New Roman" w:hAnsi="Times New Roman" w:cs="Times New Roman"/>
          <w:sz w:val="20"/>
          <w:szCs w:val="20"/>
        </w:rPr>
        <w:t>Toulson</w:t>
      </w:r>
      <w:proofErr w:type="spellEnd"/>
      <w:r w:rsidR="009C01FD" w:rsidRPr="00BB306E">
        <w:rPr>
          <w:rFonts w:ascii="Times New Roman" w:hAnsi="Times New Roman" w:cs="Times New Roman"/>
          <w:sz w:val="20"/>
          <w:szCs w:val="20"/>
        </w:rPr>
        <w:t xml:space="preserve"> J, found in favor of GSI on the misrepresentation claim, reasoning that in light of the Notice, there was no implied representation </w:t>
      </w:r>
      <w:r w:rsidR="007D77FD" w:rsidRPr="00BB306E">
        <w:rPr>
          <w:rFonts w:ascii="Times New Roman" w:hAnsi="Times New Roman" w:cs="Times New Roman"/>
          <w:sz w:val="20"/>
          <w:szCs w:val="20"/>
        </w:rPr>
        <w:t xml:space="preserve">that GSI was unaware of facts showing that the information about </w:t>
      </w:r>
      <w:r w:rsidR="004C09D3" w:rsidRPr="00BB306E">
        <w:rPr>
          <w:rFonts w:ascii="Times New Roman" w:hAnsi="Times New Roman" w:cs="Times New Roman"/>
          <w:sz w:val="20"/>
          <w:szCs w:val="20"/>
        </w:rPr>
        <w:t>the target</w:t>
      </w:r>
      <w:r w:rsidR="007D77FD" w:rsidRPr="00BB306E">
        <w:rPr>
          <w:rFonts w:ascii="Times New Roman" w:hAnsi="Times New Roman" w:cs="Times New Roman"/>
          <w:sz w:val="20"/>
          <w:szCs w:val="20"/>
        </w:rPr>
        <w:t xml:space="preserve"> in the </w:t>
      </w:r>
      <w:r w:rsidR="00B554BD" w:rsidRPr="00BB306E">
        <w:rPr>
          <w:rFonts w:ascii="Times New Roman" w:hAnsi="Times New Roman" w:cs="Times New Roman"/>
          <w:sz w:val="20"/>
          <w:szCs w:val="20"/>
        </w:rPr>
        <w:t>IM</w:t>
      </w:r>
      <w:r w:rsidR="007D77FD" w:rsidRPr="00BB306E">
        <w:rPr>
          <w:rFonts w:ascii="Times New Roman" w:hAnsi="Times New Roman" w:cs="Times New Roman"/>
          <w:sz w:val="20"/>
          <w:szCs w:val="20"/>
        </w:rPr>
        <w:t xml:space="preserve"> was or might have been materially incorrect.</w:t>
      </w:r>
      <w:r w:rsidR="007D77FD" w:rsidRPr="00BB306E">
        <w:rPr>
          <w:rStyle w:val="FootnoteReference"/>
          <w:rFonts w:ascii="Times New Roman" w:hAnsi="Times New Roman" w:cs="Times New Roman"/>
          <w:sz w:val="20"/>
          <w:szCs w:val="20"/>
        </w:rPr>
        <w:footnoteReference w:id="17"/>
      </w:r>
      <w:r w:rsidR="00300ECB" w:rsidRPr="00BB306E">
        <w:rPr>
          <w:rFonts w:ascii="Times New Roman" w:hAnsi="Times New Roman" w:cs="Times New Roman"/>
          <w:sz w:val="20"/>
          <w:szCs w:val="20"/>
        </w:rPr>
        <w:t xml:space="preserve"> </w:t>
      </w:r>
      <w:r w:rsidR="00777E97" w:rsidRPr="00BB306E">
        <w:rPr>
          <w:rStyle w:val="FootnoteReference"/>
          <w:rFonts w:ascii="Times New Roman" w:hAnsi="Times New Roman" w:cs="Times New Roman"/>
          <w:sz w:val="20"/>
          <w:szCs w:val="20"/>
        </w:rPr>
        <w:footnoteReference w:id="18"/>
      </w:r>
      <w:r w:rsidR="00FE4ACD" w:rsidRPr="00BB306E">
        <w:rPr>
          <w:rFonts w:ascii="Times New Roman" w:hAnsi="Times New Roman" w:cs="Times New Roman"/>
          <w:sz w:val="20"/>
          <w:szCs w:val="20"/>
        </w:rPr>
        <w:t xml:space="preserve"> </w:t>
      </w:r>
      <w:r w:rsidR="00B82BF1" w:rsidRPr="00BB306E">
        <w:rPr>
          <w:rFonts w:ascii="Times New Roman" w:hAnsi="Times New Roman" w:cs="Times New Roman"/>
          <w:sz w:val="20"/>
          <w:szCs w:val="20"/>
        </w:rPr>
        <w:t xml:space="preserve">In regards to negligence, </w:t>
      </w:r>
      <w:proofErr w:type="spellStart"/>
      <w:r w:rsidR="00B82BF1" w:rsidRPr="00BB306E">
        <w:rPr>
          <w:rFonts w:ascii="Times New Roman" w:hAnsi="Times New Roman" w:cs="Times New Roman"/>
          <w:sz w:val="20"/>
          <w:szCs w:val="20"/>
        </w:rPr>
        <w:t>Toulson</w:t>
      </w:r>
      <w:proofErr w:type="spellEnd"/>
      <w:r w:rsidR="00B82BF1" w:rsidRPr="00BB306E">
        <w:rPr>
          <w:rFonts w:ascii="Times New Roman" w:hAnsi="Times New Roman" w:cs="Times New Roman"/>
          <w:sz w:val="20"/>
          <w:szCs w:val="20"/>
        </w:rPr>
        <w:t xml:space="preserve"> J found IFE’s negligent misstatement claim </w:t>
      </w:r>
      <w:r w:rsidR="00DC03DF" w:rsidRPr="00BB306E">
        <w:rPr>
          <w:rFonts w:ascii="Times New Roman" w:hAnsi="Times New Roman" w:cs="Times New Roman"/>
          <w:sz w:val="20"/>
          <w:szCs w:val="20"/>
        </w:rPr>
        <w:t>insufficient</w:t>
      </w:r>
      <w:r w:rsidR="00B82BF1" w:rsidRPr="00BB306E">
        <w:rPr>
          <w:rFonts w:ascii="Times New Roman" w:hAnsi="Times New Roman" w:cs="Times New Roman"/>
          <w:sz w:val="20"/>
          <w:szCs w:val="20"/>
        </w:rPr>
        <w:t xml:space="preserve"> for </w:t>
      </w:r>
      <w:r w:rsidR="00947F9D" w:rsidRPr="00BB306E">
        <w:rPr>
          <w:rFonts w:ascii="Times New Roman" w:hAnsi="Times New Roman" w:cs="Times New Roman"/>
          <w:sz w:val="20"/>
          <w:szCs w:val="20"/>
        </w:rPr>
        <w:t xml:space="preserve">lack of implied representations, </w:t>
      </w:r>
      <w:r w:rsidR="00DC03DF" w:rsidRPr="00BB306E">
        <w:rPr>
          <w:rFonts w:ascii="Times New Roman" w:hAnsi="Times New Roman" w:cs="Times New Roman"/>
          <w:sz w:val="20"/>
          <w:szCs w:val="20"/>
        </w:rPr>
        <w:t>similarly to</w:t>
      </w:r>
      <w:r w:rsidR="00947F9D" w:rsidRPr="00BB306E">
        <w:rPr>
          <w:rFonts w:ascii="Times New Roman" w:hAnsi="Times New Roman" w:cs="Times New Roman"/>
          <w:sz w:val="20"/>
          <w:szCs w:val="20"/>
        </w:rPr>
        <w:t xml:space="preserve"> the misrepresentation claim.</w:t>
      </w:r>
      <w:r w:rsidR="00947F9D" w:rsidRPr="00BB306E">
        <w:rPr>
          <w:rStyle w:val="FootnoteReference"/>
          <w:rFonts w:ascii="Times New Roman" w:hAnsi="Times New Roman" w:cs="Times New Roman"/>
          <w:sz w:val="20"/>
          <w:szCs w:val="20"/>
        </w:rPr>
        <w:footnoteReference w:id="19"/>
      </w:r>
      <w:r w:rsidR="00947F9D" w:rsidRPr="00BB306E">
        <w:rPr>
          <w:rFonts w:ascii="Times New Roman" w:hAnsi="Times New Roman" w:cs="Times New Roman"/>
          <w:sz w:val="20"/>
          <w:szCs w:val="20"/>
        </w:rPr>
        <w:t xml:space="preserve"> </w:t>
      </w:r>
      <w:proofErr w:type="spellStart"/>
      <w:r w:rsidR="005B1051" w:rsidRPr="00BB306E">
        <w:rPr>
          <w:rFonts w:ascii="Times New Roman" w:hAnsi="Times New Roman" w:cs="Times New Roman"/>
          <w:sz w:val="20"/>
          <w:szCs w:val="20"/>
        </w:rPr>
        <w:t>Toulson</w:t>
      </w:r>
      <w:proofErr w:type="spellEnd"/>
      <w:r w:rsidR="005B1051" w:rsidRPr="00BB306E">
        <w:rPr>
          <w:rFonts w:ascii="Times New Roman" w:hAnsi="Times New Roman" w:cs="Times New Roman"/>
          <w:sz w:val="20"/>
          <w:szCs w:val="20"/>
        </w:rPr>
        <w:t xml:space="preserve"> J also held against IFE on the alt</w:t>
      </w:r>
      <w:r w:rsidR="00B554BD" w:rsidRPr="00BB306E">
        <w:rPr>
          <w:rFonts w:ascii="Times New Roman" w:hAnsi="Times New Roman" w:cs="Times New Roman"/>
          <w:sz w:val="20"/>
          <w:szCs w:val="20"/>
        </w:rPr>
        <w:t xml:space="preserve">ernative claim of a breach of </w:t>
      </w:r>
      <w:r w:rsidR="005B1051" w:rsidRPr="00BB306E">
        <w:rPr>
          <w:rFonts w:ascii="Times New Roman" w:hAnsi="Times New Roman" w:cs="Times New Roman"/>
          <w:sz w:val="20"/>
          <w:szCs w:val="20"/>
        </w:rPr>
        <w:t>duty of care to inform. In reaching his judgment, he dispelled IFE’s argument that the Notice amount</w:t>
      </w:r>
      <w:r w:rsidR="00ED27B6" w:rsidRPr="00BB306E">
        <w:rPr>
          <w:rFonts w:ascii="Times New Roman" w:hAnsi="Times New Roman" w:cs="Times New Roman"/>
          <w:sz w:val="20"/>
          <w:szCs w:val="20"/>
        </w:rPr>
        <w:t>ed</w:t>
      </w:r>
      <w:r w:rsidR="005B1051" w:rsidRPr="00BB306E">
        <w:rPr>
          <w:rFonts w:ascii="Times New Roman" w:hAnsi="Times New Roman" w:cs="Times New Roman"/>
          <w:sz w:val="20"/>
          <w:szCs w:val="20"/>
        </w:rPr>
        <w:t xml:space="preserve"> to an exclusion or limitation </w:t>
      </w:r>
      <w:r w:rsidR="004C09D3" w:rsidRPr="00BB306E">
        <w:rPr>
          <w:rFonts w:ascii="Times New Roman" w:hAnsi="Times New Roman" w:cs="Times New Roman"/>
          <w:sz w:val="20"/>
          <w:szCs w:val="20"/>
        </w:rPr>
        <w:t>on</w:t>
      </w:r>
      <w:r w:rsidR="005B1051" w:rsidRPr="00BB306E">
        <w:rPr>
          <w:rFonts w:ascii="Times New Roman" w:hAnsi="Times New Roman" w:cs="Times New Roman"/>
          <w:sz w:val="20"/>
          <w:szCs w:val="20"/>
        </w:rPr>
        <w:t xml:space="preserve"> liability for negligence, </w:t>
      </w:r>
      <w:r w:rsidR="00ED27B6" w:rsidRPr="00BB306E">
        <w:rPr>
          <w:rFonts w:ascii="Times New Roman" w:hAnsi="Times New Roman" w:cs="Times New Roman"/>
          <w:sz w:val="20"/>
          <w:szCs w:val="20"/>
        </w:rPr>
        <w:t>which would</w:t>
      </w:r>
      <w:r w:rsidR="00B554BD" w:rsidRPr="00BB306E">
        <w:rPr>
          <w:rFonts w:ascii="Times New Roman" w:hAnsi="Times New Roman" w:cs="Times New Roman"/>
          <w:sz w:val="20"/>
          <w:szCs w:val="20"/>
        </w:rPr>
        <w:t xml:space="preserve"> have</w:t>
      </w:r>
      <w:r w:rsidR="00ED27B6" w:rsidRPr="00BB306E">
        <w:rPr>
          <w:rFonts w:ascii="Times New Roman" w:hAnsi="Times New Roman" w:cs="Times New Roman"/>
          <w:sz w:val="20"/>
          <w:szCs w:val="20"/>
        </w:rPr>
        <w:t xml:space="preserve"> subject</w:t>
      </w:r>
      <w:r w:rsidR="00B554BD" w:rsidRPr="00BB306E">
        <w:rPr>
          <w:rFonts w:ascii="Times New Roman" w:hAnsi="Times New Roman" w:cs="Times New Roman"/>
          <w:sz w:val="20"/>
          <w:szCs w:val="20"/>
        </w:rPr>
        <w:t>ed</w:t>
      </w:r>
      <w:r w:rsidR="00ED27B6" w:rsidRPr="00BB306E">
        <w:rPr>
          <w:rFonts w:ascii="Times New Roman" w:hAnsi="Times New Roman" w:cs="Times New Roman"/>
          <w:sz w:val="20"/>
          <w:szCs w:val="20"/>
        </w:rPr>
        <w:t xml:space="preserve"> </w:t>
      </w:r>
      <w:r w:rsidR="00B554BD" w:rsidRPr="00BB306E">
        <w:rPr>
          <w:rFonts w:ascii="Times New Roman" w:hAnsi="Times New Roman" w:cs="Times New Roman"/>
          <w:sz w:val="20"/>
          <w:szCs w:val="20"/>
        </w:rPr>
        <w:t>its terms</w:t>
      </w:r>
      <w:r w:rsidR="004C09D3" w:rsidRPr="00BB306E">
        <w:rPr>
          <w:rFonts w:ascii="Times New Roman" w:hAnsi="Times New Roman" w:cs="Times New Roman"/>
          <w:sz w:val="20"/>
          <w:szCs w:val="20"/>
        </w:rPr>
        <w:t xml:space="preserve"> </w:t>
      </w:r>
      <w:r w:rsidR="005B1051" w:rsidRPr="00BB306E">
        <w:rPr>
          <w:rFonts w:ascii="Times New Roman" w:hAnsi="Times New Roman" w:cs="Times New Roman"/>
          <w:sz w:val="20"/>
          <w:szCs w:val="20"/>
        </w:rPr>
        <w:t xml:space="preserve">to a </w:t>
      </w:r>
      <w:r w:rsidR="004C09D3" w:rsidRPr="00BB306E">
        <w:rPr>
          <w:rFonts w:ascii="Times New Roman" w:hAnsi="Times New Roman" w:cs="Times New Roman"/>
          <w:sz w:val="20"/>
          <w:szCs w:val="20"/>
        </w:rPr>
        <w:t>reasonableness</w:t>
      </w:r>
      <w:r w:rsidR="005B1051" w:rsidRPr="00BB306E">
        <w:rPr>
          <w:rFonts w:ascii="Times New Roman" w:hAnsi="Times New Roman" w:cs="Times New Roman"/>
          <w:sz w:val="20"/>
          <w:szCs w:val="20"/>
        </w:rPr>
        <w:t xml:space="preserve"> standard.</w:t>
      </w:r>
      <w:r w:rsidR="005B1051" w:rsidRPr="00BB306E">
        <w:rPr>
          <w:rStyle w:val="FootnoteReference"/>
          <w:rFonts w:ascii="Times New Roman" w:hAnsi="Times New Roman" w:cs="Times New Roman"/>
          <w:sz w:val="20"/>
          <w:szCs w:val="20"/>
        </w:rPr>
        <w:footnoteReference w:id="20"/>
      </w:r>
      <w:r w:rsidR="005B1051" w:rsidRPr="00BB306E">
        <w:rPr>
          <w:rFonts w:ascii="Times New Roman" w:hAnsi="Times New Roman" w:cs="Times New Roman"/>
          <w:sz w:val="20"/>
          <w:szCs w:val="20"/>
        </w:rPr>
        <w:t xml:space="preserve"> </w:t>
      </w:r>
      <w:r w:rsidR="00ED27B6" w:rsidRPr="00BB306E">
        <w:rPr>
          <w:rFonts w:ascii="Times New Roman" w:hAnsi="Times New Roman" w:cs="Times New Roman"/>
          <w:sz w:val="20"/>
          <w:szCs w:val="20"/>
        </w:rPr>
        <w:t xml:space="preserve">Instead, </w:t>
      </w:r>
      <w:r w:rsidR="00F13EAE" w:rsidRPr="00BB306E">
        <w:rPr>
          <w:rFonts w:ascii="Times New Roman" w:hAnsi="Times New Roman" w:cs="Times New Roman"/>
          <w:sz w:val="20"/>
          <w:szCs w:val="20"/>
        </w:rPr>
        <w:t xml:space="preserve">the judge </w:t>
      </w:r>
      <w:r w:rsidR="00B554BD" w:rsidRPr="00BB306E">
        <w:rPr>
          <w:rFonts w:ascii="Times New Roman" w:hAnsi="Times New Roman" w:cs="Times New Roman"/>
          <w:sz w:val="20"/>
          <w:szCs w:val="20"/>
        </w:rPr>
        <w:t>reasoned that</w:t>
      </w:r>
      <w:r w:rsidR="00F13EAE" w:rsidRPr="00BB306E">
        <w:rPr>
          <w:rFonts w:ascii="Times New Roman" w:hAnsi="Times New Roman" w:cs="Times New Roman"/>
          <w:sz w:val="20"/>
          <w:szCs w:val="20"/>
        </w:rPr>
        <w:t xml:space="preserve"> the Notice characterized the relati</w:t>
      </w:r>
      <w:r w:rsidR="00B554BD" w:rsidRPr="00BB306E">
        <w:rPr>
          <w:rFonts w:ascii="Times New Roman" w:hAnsi="Times New Roman" w:cs="Times New Roman"/>
          <w:sz w:val="20"/>
          <w:szCs w:val="20"/>
        </w:rPr>
        <w:t>onship between GSI and IFE; the</w:t>
      </w:r>
      <w:r w:rsidR="004C09D3" w:rsidRPr="00BB306E">
        <w:rPr>
          <w:rFonts w:ascii="Times New Roman" w:hAnsi="Times New Roman" w:cs="Times New Roman"/>
          <w:sz w:val="20"/>
          <w:szCs w:val="20"/>
        </w:rPr>
        <w:t xml:space="preserve"> terms</w:t>
      </w:r>
      <w:r w:rsidR="00F13EAE" w:rsidRPr="00BB306E">
        <w:rPr>
          <w:rFonts w:ascii="Times New Roman" w:hAnsi="Times New Roman" w:cs="Times New Roman"/>
          <w:sz w:val="20"/>
          <w:szCs w:val="20"/>
        </w:rPr>
        <w:t xml:space="preserve"> provided “qualifying” language to the information in the </w:t>
      </w:r>
      <w:r w:rsidR="00B554BD" w:rsidRPr="00BB306E">
        <w:rPr>
          <w:rFonts w:ascii="Times New Roman" w:hAnsi="Times New Roman" w:cs="Times New Roman"/>
          <w:sz w:val="20"/>
          <w:szCs w:val="20"/>
        </w:rPr>
        <w:t>IM, rather than served to limit or exclude GSI’s liability</w:t>
      </w:r>
      <w:r w:rsidR="00F13EAE" w:rsidRPr="00BB306E">
        <w:rPr>
          <w:rFonts w:ascii="Times New Roman" w:hAnsi="Times New Roman" w:cs="Times New Roman"/>
          <w:sz w:val="20"/>
          <w:szCs w:val="20"/>
        </w:rPr>
        <w:t>.</w:t>
      </w:r>
      <w:r w:rsidR="00F13EAE" w:rsidRPr="00BB306E">
        <w:rPr>
          <w:rStyle w:val="FootnoteReference"/>
          <w:rFonts w:ascii="Times New Roman" w:hAnsi="Times New Roman" w:cs="Times New Roman"/>
          <w:sz w:val="20"/>
          <w:szCs w:val="20"/>
        </w:rPr>
        <w:footnoteReference w:id="21"/>
      </w:r>
      <w:r w:rsidR="00DC770D" w:rsidRPr="00BB306E">
        <w:rPr>
          <w:rFonts w:ascii="Times New Roman" w:hAnsi="Times New Roman" w:cs="Times New Roman"/>
          <w:sz w:val="20"/>
          <w:szCs w:val="20"/>
        </w:rPr>
        <w:t xml:space="preserve"> </w:t>
      </w:r>
      <w:r w:rsidR="00E51F89" w:rsidRPr="00BB306E">
        <w:rPr>
          <w:rFonts w:ascii="Times New Roman" w:hAnsi="Times New Roman" w:cs="Times New Roman"/>
          <w:sz w:val="20"/>
          <w:szCs w:val="20"/>
        </w:rPr>
        <w:t>The Court of Appea</w:t>
      </w:r>
      <w:r w:rsidR="00B554BD" w:rsidRPr="00BB306E">
        <w:rPr>
          <w:rFonts w:ascii="Times New Roman" w:hAnsi="Times New Roman" w:cs="Times New Roman"/>
          <w:sz w:val="20"/>
          <w:szCs w:val="20"/>
        </w:rPr>
        <w:t xml:space="preserve">l affirmed </w:t>
      </w:r>
      <w:proofErr w:type="spellStart"/>
      <w:r w:rsidR="00B554BD" w:rsidRPr="00BB306E">
        <w:rPr>
          <w:rFonts w:ascii="Times New Roman" w:hAnsi="Times New Roman" w:cs="Times New Roman"/>
          <w:sz w:val="20"/>
          <w:szCs w:val="20"/>
        </w:rPr>
        <w:t>Toulson</w:t>
      </w:r>
      <w:proofErr w:type="spellEnd"/>
      <w:r w:rsidR="00B554BD" w:rsidRPr="00BB306E">
        <w:rPr>
          <w:rFonts w:ascii="Times New Roman" w:hAnsi="Times New Roman" w:cs="Times New Roman"/>
          <w:sz w:val="20"/>
          <w:szCs w:val="20"/>
        </w:rPr>
        <w:t xml:space="preserve"> J’s holdings</w:t>
      </w:r>
      <w:r w:rsidR="00E51F89" w:rsidRPr="00BB306E">
        <w:rPr>
          <w:rFonts w:ascii="Times New Roman" w:hAnsi="Times New Roman" w:cs="Times New Roman"/>
          <w:sz w:val="20"/>
          <w:szCs w:val="20"/>
        </w:rPr>
        <w:t xml:space="preserve"> and dismissed IFE’s appeal.</w:t>
      </w:r>
      <w:r w:rsidR="00E51F89" w:rsidRPr="00BB306E">
        <w:rPr>
          <w:rStyle w:val="FootnoteReference"/>
          <w:rFonts w:ascii="Times New Roman" w:hAnsi="Times New Roman" w:cs="Times New Roman"/>
          <w:sz w:val="20"/>
          <w:szCs w:val="20"/>
        </w:rPr>
        <w:footnoteReference w:id="22"/>
      </w:r>
    </w:p>
    <w:p w14:paraId="7F99FDE0" w14:textId="0C947305" w:rsidR="001D5934" w:rsidRPr="00BB306E" w:rsidRDefault="00845CB2" w:rsidP="00BB306E">
      <w:pPr>
        <w:ind w:firstLine="2160"/>
        <w:rPr>
          <w:rFonts w:ascii="Times New Roman" w:hAnsi="Times New Roman" w:cs="Times New Roman"/>
          <w:sz w:val="20"/>
          <w:szCs w:val="20"/>
        </w:rPr>
      </w:pPr>
      <w:r w:rsidRPr="00BB306E">
        <w:rPr>
          <w:rFonts w:ascii="Times New Roman" w:hAnsi="Times New Roman" w:cs="Times New Roman"/>
          <w:sz w:val="20"/>
          <w:szCs w:val="20"/>
        </w:rPr>
        <w:t>In addition, b</w:t>
      </w:r>
      <w:r w:rsidR="00B82BF1" w:rsidRPr="00BB306E">
        <w:rPr>
          <w:rFonts w:ascii="Times New Roman" w:hAnsi="Times New Roman" w:cs="Times New Roman"/>
          <w:sz w:val="20"/>
          <w:szCs w:val="20"/>
        </w:rPr>
        <w:t xml:space="preserve">oth </w:t>
      </w:r>
      <w:r w:rsidR="001535F5" w:rsidRPr="00BB306E">
        <w:rPr>
          <w:rFonts w:ascii="Times New Roman" w:hAnsi="Times New Roman" w:cs="Times New Roman"/>
          <w:sz w:val="20"/>
          <w:szCs w:val="20"/>
        </w:rPr>
        <w:t>courts</w:t>
      </w:r>
      <w:r w:rsidR="00B82BF1" w:rsidRPr="00BB306E">
        <w:rPr>
          <w:rFonts w:ascii="Times New Roman" w:hAnsi="Times New Roman" w:cs="Times New Roman"/>
          <w:sz w:val="20"/>
          <w:szCs w:val="20"/>
        </w:rPr>
        <w:t xml:space="preserve"> considered that GSI may </w:t>
      </w:r>
      <w:r w:rsidR="001535F5" w:rsidRPr="00BB306E">
        <w:rPr>
          <w:rFonts w:ascii="Times New Roman" w:hAnsi="Times New Roman" w:cs="Times New Roman"/>
          <w:sz w:val="20"/>
          <w:szCs w:val="20"/>
        </w:rPr>
        <w:t>owe</w:t>
      </w:r>
      <w:r w:rsidR="00B82BF1" w:rsidRPr="00BB306E">
        <w:rPr>
          <w:rFonts w:ascii="Times New Roman" w:hAnsi="Times New Roman" w:cs="Times New Roman"/>
          <w:sz w:val="20"/>
          <w:szCs w:val="20"/>
        </w:rPr>
        <w:t xml:space="preserve"> </w:t>
      </w:r>
      <w:r w:rsidR="00757151" w:rsidRPr="00BB306E">
        <w:rPr>
          <w:rFonts w:ascii="Times New Roman" w:hAnsi="Times New Roman" w:cs="Times New Roman"/>
          <w:sz w:val="20"/>
          <w:szCs w:val="20"/>
        </w:rPr>
        <w:t xml:space="preserve">a </w:t>
      </w:r>
      <w:r w:rsidR="00ED27B6" w:rsidRPr="00BB306E">
        <w:rPr>
          <w:rFonts w:ascii="Times New Roman" w:hAnsi="Times New Roman" w:cs="Times New Roman"/>
          <w:sz w:val="20"/>
          <w:szCs w:val="20"/>
        </w:rPr>
        <w:t xml:space="preserve">duty of good faith; however, </w:t>
      </w:r>
      <w:r w:rsidR="00757151" w:rsidRPr="00BB306E">
        <w:rPr>
          <w:rFonts w:ascii="Times New Roman" w:hAnsi="Times New Roman" w:cs="Times New Roman"/>
          <w:sz w:val="20"/>
          <w:szCs w:val="20"/>
        </w:rPr>
        <w:t>this d</w:t>
      </w:r>
      <w:r w:rsidR="00B82BF1" w:rsidRPr="00BB306E">
        <w:rPr>
          <w:rFonts w:ascii="Times New Roman" w:hAnsi="Times New Roman" w:cs="Times New Roman"/>
          <w:sz w:val="20"/>
          <w:szCs w:val="20"/>
        </w:rPr>
        <w:t>id not i</w:t>
      </w:r>
      <w:r w:rsidR="00757151" w:rsidRPr="00BB306E">
        <w:rPr>
          <w:rFonts w:ascii="Times New Roman" w:hAnsi="Times New Roman" w:cs="Times New Roman"/>
          <w:sz w:val="20"/>
          <w:szCs w:val="20"/>
        </w:rPr>
        <w:t xml:space="preserve">mpose any obligations that would help IFE’s case </w:t>
      </w:r>
      <w:r w:rsidR="00777E97" w:rsidRPr="00BB306E">
        <w:rPr>
          <w:rFonts w:ascii="Times New Roman" w:hAnsi="Times New Roman" w:cs="Times New Roman"/>
          <w:sz w:val="20"/>
          <w:szCs w:val="20"/>
        </w:rPr>
        <w:t>since only actual knowledge of incorrect facts paired with a failure to disclose them would breach the duty of good faith</w:t>
      </w:r>
      <w:r w:rsidR="00B82BF1" w:rsidRPr="00BB306E">
        <w:rPr>
          <w:rFonts w:ascii="Times New Roman" w:hAnsi="Times New Roman" w:cs="Times New Roman"/>
          <w:sz w:val="20"/>
          <w:szCs w:val="20"/>
        </w:rPr>
        <w:t>.</w:t>
      </w:r>
      <w:r w:rsidR="00B82BF1" w:rsidRPr="00BB306E">
        <w:rPr>
          <w:rStyle w:val="FootnoteReference"/>
          <w:rFonts w:ascii="Times New Roman" w:hAnsi="Times New Roman" w:cs="Times New Roman"/>
          <w:sz w:val="20"/>
          <w:szCs w:val="20"/>
        </w:rPr>
        <w:footnoteReference w:id="23"/>
      </w:r>
      <w:r w:rsidR="00B82BF1" w:rsidRPr="00BB306E">
        <w:rPr>
          <w:rFonts w:ascii="Times New Roman" w:hAnsi="Times New Roman" w:cs="Times New Roman"/>
          <w:sz w:val="20"/>
          <w:szCs w:val="20"/>
        </w:rPr>
        <w:t xml:space="preserve"> </w:t>
      </w:r>
      <w:r w:rsidR="00777E97" w:rsidRPr="00BB306E">
        <w:rPr>
          <w:rFonts w:ascii="Times New Roman" w:hAnsi="Times New Roman" w:cs="Times New Roman"/>
          <w:i/>
          <w:sz w:val="20"/>
          <w:szCs w:val="20"/>
        </w:rPr>
        <w:t>Cf.</w:t>
      </w:r>
      <w:r w:rsidR="00777E97" w:rsidRPr="00BB306E">
        <w:rPr>
          <w:rFonts w:ascii="Times New Roman" w:hAnsi="Times New Roman" w:cs="Times New Roman"/>
          <w:sz w:val="20"/>
          <w:szCs w:val="20"/>
        </w:rPr>
        <w:t xml:space="preserve"> See </w:t>
      </w:r>
      <w:r w:rsidR="00777E97" w:rsidRPr="00BB306E">
        <w:rPr>
          <w:rFonts w:ascii="Times New Roman" w:hAnsi="Times New Roman" w:cs="Times New Roman"/>
          <w:i/>
          <w:iCs/>
          <w:sz w:val="20"/>
          <w:szCs w:val="20"/>
        </w:rPr>
        <w:t xml:space="preserve">In Re </w:t>
      </w:r>
      <w:proofErr w:type="spellStart"/>
      <w:r w:rsidR="00777E97" w:rsidRPr="00BB306E">
        <w:rPr>
          <w:rFonts w:ascii="Times New Roman" w:hAnsi="Times New Roman" w:cs="Times New Roman"/>
          <w:i/>
          <w:iCs/>
          <w:sz w:val="20"/>
          <w:szCs w:val="20"/>
        </w:rPr>
        <w:t>Colocotronis</w:t>
      </w:r>
      <w:proofErr w:type="spellEnd"/>
      <w:r w:rsidR="00777E97" w:rsidRPr="00BB306E">
        <w:rPr>
          <w:rFonts w:ascii="Times New Roman" w:hAnsi="Times New Roman" w:cs="Times New Roman"/>
          <w:i/>
          <w:iCs/>
          <w:sz w:val="20"/>
          <w:szCs w:val="20"/>
        </w:rPr>
        <w:t xml:space="preserve"> Tanker Securities Litigation </w:t>
      </w:r>
      <w:r w:rsidR="00777E97" w:rsidRPr="00BB306E">
        <w:rPr>
          <w:rFonts w:ascii="Times New Roman" w:hAnsi="Times New Roman" w:cs="Times New Roman"/>
          <w:iCs/>
          <w:sz w:val="20"/>
          <w:szCs w:val="20"/>
        </w:rPr>
        <w:t xml:space="preserve">420 </w:t>
      </w:r>
      <w:proofErr w:type="spellStart"/>
      <w:r w:rsidR="00777E97" w:rsidRPr="00BB306E">
        <w:rPr>
          <w:rFonts w:ascii="Times New Roman" w:hAnsi="Times New Roman" w:cs="Times New Roman"/>
          <w:iCs/>
          <w:sz w:val="20"/>
          <w:szCs w:val="20"/>
        </w:rPr>
        <w:t>F.Supp</w:t>
      </w:r>
      <w:proofErr w:type="spellEnd"/>
      <w:r w:rsidR="00777E97" w:rsidRPr="00BB306E">
        <w:rPr>
          <w:rFonts w:ascii="Times New Roman" w:hAnsi="Times New Roman" w:cs="Times New Roman"/>
          <w:iCs/>
          <w:sz w:val="20"/>
          <w:szCs w:val="20"/>
        </w:rPr>
        <w:t>. 998 (1976)</w:t>
      </w:r>
      <w:r w:rsidR="00777E97" w:rsidRPr="00BB306E">
        <w:rPr>
          <w:rFonts w:ascii="Times New Roman" w:hAnsi="Times New Roman" w:cs="Times New Roman"/>
          <w:i/>
          <w:iCs/>
          <w:sz w:val="20"/>
          <w:szCs w:val="20"/>
        </w:rPr>
        <w:t xml:space="preserve"> </w:t>
      </w:r>
      <w:r w:rsidR="00777E97" w:rsidRPr="00BB306E">
        <w:rPr>
          <w:rFonts w:ascii="Times New Roman" w:hAnsi="Times New Roman" w:cs="Times New Roman"/>
          <w:sz w:val="20"/>
          <w:szCs w:val="20"/>
        </w:rPr>
        <w:t xml:space="preserve">(where </w:t>
      </w:r>
      <w:r w:rsidR="00DB0C47" w:rsidRPr="00BB306E">
        <w:rPr>
          <w:rFonts w:ascii="Times New Roman" w:hAnsi="Times New Roman" w:cs="Times New Roman"/>
          <w:sz w:val="20"/>
          <w:szCs w:val="20"/>
        </w:rPr>
        <w:t>the plaintiff</w:t>
      </w:r>
      <w:r w:rsidR="00777E97" w:rsidRPr="00BB306E">
        <w:rPr>
          <w:rFonts w:ascii="Times New Roman" w:hAnsi="Times New Roman" w:cs="Times New Roman"/>
          <w:sz w:val="20"/>
          <w:szCs w:val="20"/>
        </w:rPr>
        <w:t xml:space="preserve"> alleged in part under a claim for common law fraud that the lead manager of a syndicated lending facility had induced participants to join by misstating and omitting material facts about the borrower’s financial profile</w:t>
      </w:r>
      <w:r w:rsidR="00DB0C47" w:rsidRPr="00BB306E">
        <w:rPr>
          <w:rFonts w:ascii="Times New Roman" w:hAnsi="Times New Roman" w:cs="Times New Roman"/>
          <w:sz w:val="20"/>
          <w:szCs w:val="20"/>
        </w:rPr>
        <w:t>).</w:t>
      </w:r>
      <w:r w:rsidR="00DB0C47" w:rsidRPr="00BB306E">
        <w:rPr>
          <w:rStyle w:val="FootnoteReference"/>
          <w:rFonts w:ascii="Times New Roman" w:hAnsi="Times New Roman" w:cs="Times New Roman"/>
          <w:sz w:val="20"/>
          <w:szCs w:val="20"/>
        </w:rPr>
        <w:footnoteReference w:id="24"/>
      </w:r>
    </w:p>
    <w:p w14:paraId="2503C623" w14:textId="77777777" w:rsidR="009C25D3" w:rsidRPr="00BB306E" w:rsidRDefault="009C25D3" w:rsidP="00BB306E">
      <w:pPr>
        <w:ind w:firstLine="2160"/>
        <w:rPr>
          <w:rFonts w:ascii="Times New Roman" w:hAnsi="Times New Roman" w:cs="Times New Roman"/>
          <w:sz w:val="20"/>
          <w:szCs w:val="20"/>
        </w:rPr>
      </w:pPr>
    </w:p>
    <w:p w14:paraId="21B01DA4" w14:textId="360D3A85" w:rsidR="001D5934" w:rsidRPr="00BB306E" w:rsidRDefault="001D5934" w:rsidP="00BB306E">
      <w:pPr>
        <w:pStyle w:val="ListParagraph"/>
        <w:numPr>
          <w:ilvl w:val="2"/>
          <w:numId w:val="4"/>
        </w:numPr>
        <w:rPr>
          <w:rFonts w:ascii="Times New Roman" w:hAnsi="Times New Roman" w:cs="Times New Roman"/>
          <w:sz w:val="20"/>
          <w:szCs w:val="20"/>
        </w:rPr>
      </w:pPr>
      <w:r w:rsidRPr="00BB306E">
        <w:rPr>
          <w:rFonts w:ascii="Times New Roman" w:hAnsi="Times New Roman" w:cs="Times New Roman"/>
          <w:sz w:val="20"/>
          <w:szCs w:val="20"/>
          <w:u w:val="single"/>
        </w:rPr>
        <w:t xml:space="preserve">General implications for arranging bank liability </w:t>
      </w:r>
    </w:p>
    <w:p w14:paraId="4CE122A1" w14:textId="77777777" w:rsidR="001D5934" w:rsidRPr="00BB306E" w:rsidRDefault="001D5934" w:rsidP="00BB306E">
      <w:pPr>
        <w:ind w:firstLine="2160"/>
        <w:rPr>
          <w:rFonts w:ascii="Times New Roman" w:hAnsi="Times New Roman" w:cs="Times New Roman"/>
          <w:sz w:val="20"/>
          <w:szCs w:val="20"/>
        </w:rPr>
      </w:pPr>
    </w:p>
    <w:p w14:paraId="76077287" w14:textId="1969A431" w:rsidR="001D5934" w:rsidRPr="00BB306E" w:rsidRDefault="007A576E"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In analyzing whether there were representations in the Memo, </w:t>
      </w:r>
      <w:proofErr w:type="spellStart"/>
      <w:r w:rsidRPr="00BB306E">
        <w:rPr>
          <w:rFonts w:ascii="Times New Roman" w:hAnsi="Times New Roman" w:cs="Times New Roman"/>
          <w:sz w:val="20"/>
          <w:szCs w:val="20"/>
        </w:rPr>
        <w:t>Toulson</w:t>
      </w:r>
      <w:proofErr w:type="spellEnd"/>
      <w:r w:rsidRPr="00BB306E">
        <w:rPr>
          <w:rFonts w:ascii="Times New Roman" w:hAnsi="Times New Roman" w:cs="Times New Roman"/>
          <w:sz w:val="20"/>
          <w:szCs w:val="20"/>
        </w:rPr>
        <w:t xml:space="preserve"> J distinguished the relationship between the GSI and IFE from that between a bank and a member of the public. He stated that “in the specialized world of syndicated finance there is everything to be said for leaving the participants to determine </w:t>
      </w:r>
      <w:r w:rsidR="001535F5" w:rsidRPr="00BB306E">
        <w:rPr>
          <w:rFonts w:ascii="Times New Roman" w:hAnsi="Times New Roman" w:cs="Times New Roman"/>
          <w:sz w:val="20"/>
          <w:szCs w:val="20"/>
        </w:rPr>
        <w:t>[their]</w:t>
      </w:r>
      <w:r w:rsidRPr="00BB306E">
        <w:rPr>
          <w:rFonts w:ascii="Times New Roman" w:hAnsi="Times New Roman" w:cs="Times New Roman"/>
          <w:sz w:val="20"/>
          <w:szCs w:val="20"/>
        </w:rPr>
        <w:t xml:space="preserve"> respective responsibilities and risks”, and found the Notice evidenced this determination in part.</w:t>
      </w:r>
      <w:r w:rsidRPr="00BB306E">
        <w:rPr>
          <w:rStyle w:val="FootnoteReference"/>
          <w:rFonts w:ascii="Times New Roman" w:hAnsi="Times New Roman" w:cs="Times New Roman"/>
          <w:sz w:val="20"/>
          <w:szCs w:val="20"/>
        </w:rPr>
        <w:footnoteReference w:id="25"/>
      </w:r>
      <w:r w:rsidRPr="00BB306E">
        <w:rPr>
          <w:rFonts w:ascii="Times New Roman" w:hAnsi="Times New Roman" w:cs="Times New Roman"/>
          <w:sz w:val="20"/>
          <w:szCs w:val="20"/>
        </w:rPr>
        <w:t xml:space="preserve"> Therefore, </w:t>
      </w:r>
      <w:r w:rsidRPr="00BB306E">
        <w:rPr>
          <w:rFonts w:ascii="Times New Roman" w:hAnsi="Times New Roman" w:cs="Times New Roman"/>
          <w:i/>
          <w:sz w:val="20"/>
          <w:szCs w:val="20"/>
        </w:rPr>
        <w:t xml:space="preserve">IFE </w:t>
      </w:r>
      <w:r w:rsidRPr="00BB306E">
        <w:rPr>
          <w:rFonts w:ascii="Times New Roman" w:hAnsi="Times New Roman" w:cs="Times New Roman"/>
          <w:sz w:val="20"/>
          <w:szCs w:val="20"/>
        </w:rPr>
        <w:t>shows that a court will likely preserve the freedom of two sophisticated parties to engage in a complex financial transaction without imposing judicial burdens that would shift the</w:t>
      </w:r>
      <w:r w:rsidR="001535F5" w:rsidRPr="00BB306E">
        <w:rPr>
          <w:rFonts w:ascii="Times New Roman" w:hAnsi="Times New Roman" w:cs="Times New Roman"/>
          <w:sz w:val="20"/>
          <w:szCs w:val="20"/>
        </w:rPr>
        <w:t>ir own balancing</w:t>
      </w:r>
      <w:r w:rsidRPr="00BB306E">
        <w:rPr>
          <w:rFonts w:ascii="Times New Roman" w:hAnsi="Times New Roman" w:cs="Times New Roman"/>
          <w:sz w:val="20"/>
          <w:szCs w:val="20"/>
        </w:rPr>
        <w:t xml:space="preserve"> of </w:t>
      </w:r>
      <w:r w:rsidR="001535F5" w:rsidRPr="00BB306E">
        <w:rPr>
          <w:rFonts w:ascii="Times New Roman" w:hAnsi="Times New Roman" w:cs="Times New Roman"/>
          <w:sz w:val="20"/>
          <w:szCs w:val="20"/>
        </w:rPr>
        <w:t>liability</w:t>
      </w:r>
      <w:r w:rsidRPr="00BB306E">
        <w:rPr>
          <w:rFonts w:ascii="Times New Roman" w:hAnsi="Times New Roman" w:cs="Times New Roman"/>
          <w:sz w:val="20"/>
          <w:szCs w:val="20"/>
        </w:rPr>
        <w:t>.</w:t>
      </w:r>
      <w:r w:rsidRPr="00BB306E">
        <w:rPr>
          <w:rStyle w:val="FootnoteReference"/>
          <w:rFonts w:ascii="Times New Roman" w:hAnsi="Times New Roman" w:cs="Times New Roman"/>
          <w:sz w:val="20"/>
          <w:szCs w:val="20"/>
        </w:rPr>
        <w:footnoteReference w:id="26"/>
      </w:r>
      <w:r w:rsidR="001535F5" w:rsidRPr="00BB306E">
        <w:rPr>
          <w:rFonts w:ascii="Times New Roman" w:hAnsi="Times New Roman" w:cs="Times New Roman"/>
          <w:sz w:val="20"/>
          <w:szCs w:val="20"/>
        </w:rPr>
        <w:t xml:space="preserve"> Since a </w:t>
      </w:r>
      <w:r w:rsidRPr="00BB306E">
        <w:rPr>
          <w:rFonts w:ascii="Times New Roman" w:hAnsi="Times New Roman" w:cs="Times New Roman"/>
          <w:sz w:val="20"/>
          <w:szCs w:val="20"/>
        </w:rPr>
        <w:t xml:space="preserve">Memorandum also memorializes this balance, it will likely be upheld in an arranging bank’s favor. </w:t>
      </w:r>
    </w:p>
    <w:p w14:paraId="537E0935" w14:textId="77777777" w:rsidR="001D5934" w:rsidRPr="00BB306E" w:rsidRDefault="0059396A"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On the other hand, it is possible that the level of deference given </w:t>
      </w:r>
      <w:r w:rsidR="00F87E6C" w:rsidRPr="00BB306E">
        <w:rPr>
          <w:rFonts w:ascii="Times New Roman" w:hAnsi="Times New Roman" w:cs="Times New Roman"/>
          <w:sz w:val="20"/>
          <w:szCs w:val="20"/>
        </w:rPr>
        <w:t xml:space="preserve">by the </w:t>
      </w:r>
      <w:r w:rsidR="00F87E6C" w:rsidRPr="00BB306E">
        <w:rPr>
          <w:rFonts w:ascii="Times New Roman" w:hAnsi="Times New Roman" w:cs="Times New Roman"/>
          <w:i/>
          <w:sz w:val="20"/>
          <w:szCs w:val="20"/>
        </w:rPr>
        <w:t>IFE Court</w:t>
      </w:r>
      <w:r w:rsidRPr="00BB306E">
        <w:rPr>
          <w:rFonts w:ascii="Times New Roman" w:hAnsi="Times New Roman" w:cs="Times New Roman"/>
          <w:sz w:val="20"/>
          <w:szCs w:val="20"/>
        </w:rPr>
        <w:t xml:space="preserve"> was due to the fact that fraud was not alleged as part of the plaintiff’s claim.</w:t>
      </w:r>
      <w:r w:rsidR="0076648B" w:rsidRPr="00BB306E">
        <w:rPr>
          <w:rStyle w:val="FootnoteReference"/>
          <w:rFonts w:ascii="Times New Roman" w:hAnsi="Times New Roman" w:cs="Times New Roman"/>
          <w:sz w:val="20"/>
          <w:szCs w:val="20"/>
        </w:rPr>
        <w:footnoteReference w:id="27"/>
      </w:r>
      <w:r w:rsidRPr="00BB306E">
        <w:rPr>
          <w:rFonts w:ascii="Times New Roman" w:hAnsi="Times New Roman" w:cs="Times New Roman"/>
          <w:sz w:val="20"/>
          <w:szCs w:val="20"/>
        </w:rPr>
        <w:t xml:space="preserve"> Still, </w:t>
      </w:r>
      <w:r w:rsidR="00142D33" w:rsidRPr="00BB306E">
        <w:rPr>
          <w:rFonts w:ascii="Times New Roman" w:hAnsi="Times New Roman" w:cs="Times New Roman"/>
          <w:sz w:val="20"/>
          <w:szCs w:val="20"/>
        </w:rPr>
        <w:t>the court’s emphasis on allowing industry practice to continue probably indicates that</w:t>
      </w:r>
      <w:r w:rsidR="0047717B" w:rsidRPr="00BB306E">
        <w:rPr>
          <w:rFonts w:ascii="Times New Roman" w:hAnsi="Times New Roman" w:cs="Times New Roman"/>
          <w:sz w:val="20"/>
          <w:szCs w:val="20"/>
        </w:rPr>
        <w:t>,</w:t>
      </w:r>
      <w:r w:rsidR="00142D33" w:rsidRPr="00BB306E">
        <w:rPr>
          <w:rFonts w:ascii="Times New Roman" w:hAnsi="Times New Roman" w:cs="Times New Roman"/>
          <w:sz w:val="20"/>
          <w:szCs w:val="20"/>
        </w:rPr>
        <w:t xml:space="preserve"> </w:t>
      </w:r>
      <w:r w:rsidR="0047717B" w:rsidRPr="00BB306E">
        <w:rPr>
          <w:rFonts w:ascii="Times New Roman" w:hAnsi="Times New Roman" w:cs="Times New Roman"/>
          <w:sz w:val="20"/>
          <w:szCs w:val="20"/>
        </w:rPr>
        <w:t>provided</w:t>
      </w:r>
      <w:r w:rsidR="00142D33" w:rsidRPr="00BB306E">
        <w:rPr>
          <w:rFonts w:ascii="Times New Roman" w:hAnsi="Times New Roman" w:cs="Times New Roman"/>
          <w:sz w:val="20"/>
          <w:szCs w:val="20"/>
        </w:rPr>
        <w:t xml:space="preserve"> there is no dishonest conduct, courts will </w:t>
      </w:r>
      <w:r w:rsidR="0047717B" w:rsidRPr="00BB306E">
        <w:rPr>
          <w:rFonts w:ascii="Times New Roman" w:hAnsi="Times New Roman" w:cs="Times New Roman"/>
          <w:sz w:val="20"/>
          <w:szCs w:val="20"/>
        </w:rPr>
        <w:t>generally uphold</w:t>
      </w:r>
      <w:r w:rsidR="00142D33" w:rsidRPr="00BB306E">
        <w:rPr>
          <w:rFonts w:ascii="Times New Roman" w:hAnsi="Times New Roman" w:cs="Times New Roman"/>
          <w:sz w:val="20"/>
          <w:szCs w:val="20"/>
        </w:rPr>
        <w:t xml:space="preserve"> arranging banks’</w:t>
      </w:r>
      <w:r w:rsidR="0047717B" w:rsidRPr="00BB306E">
        <w:rPr>
          <w:rFonts w:ascii="Times New Roman" w:hAnsi="Times New Roman" w:cs="Times New Roman"/>
          <w:sz w:val="20"/>
          <w:szCs w:val="20"/>
        </w:rPr>
        <w:t xml:space="preserve"> disclaimers.</w:t>
      </w:r>
      <w:r w:rsidR="0047717B" w:rsidRPr="00BB306E">
        <w:rPr>
          <w:rStyle w:val="FootnoteReference"/>
          <w:rFonts w:ascii="Times New Roman" w:hAnsi="Times New Roman" w:cs="Times New Roman"/>
          <w:sz w:val="20"/>
          <w:szCs w:val="20"/>
        </w:rPr>
        <w:footnoteReference w:id="28"/>
      </w:r>
      <w:r w:rsidR="0047717B" w:rsidRPr="00BB306E">
        <w:rPr>
          <w:rFonts w:ascii="Times New Roman" w:hAnsi="Times New Roman" w:cs="Times New Roman"/>
          <w:sz w:val="20"/>
          <w:szCs w:val="20"/>
        </w:rPr>
        <w:t xml:space="preserve"> </w:t>
      </w:r>
      <w:r w:rsidR="0072196F" w:rsidRPr="00BB306E">
        <w:rPr>
          <w:rFonts w:ascii="Times New Roman" w:hAnsi="Times New Roman" w:cs="Times New Roman"/>
          <w:sz w:val="20"/>
          <w:szCs w:val="20"/>
        </w:rPr>
        <w:t>Again, t</w:t>
      </w:r>
      <w:r w:rsidR="0047717B" w:rsidRPr="00BB306E">
        <w:rPr>
          <w:rFonts w:ascii="Times New Roman" w:hAnsi="Times New Roman" w:cs="Times New Roman"/>
          <w:sz w:val="20"/>
          <w:szCs w:val="20"/>
        </w:rPr>
        <w:t xml:space="preserve">his </w:t>
      </w:r>
      <w:r w:rsidR="0072196F" w:rsidRPr="00BB306E">
        <w:rPr>
          <w:rFonts w:ascii="Times New Roman" w:hAnsi="Times New Roman" w:cs="Times New Roman"/>
          <w:sz w:val="20"/>
          <w:szCs w:val="20"/>
        </w:rPr>
        <w:t xml:space="preserve">likely </w:t>
      </w:r>
      <w:r w:rsidR="0047717B" w:rsidRPr="00BB306E">
        <w:rPr>
          <w:rFonts w:ascii="Times New Roman" w:hAnsi="Times New Roman" w:cs="Times New Roman"/>
          <w:sz w:val="20"/>
          <w:szCs w:val="20"/>
        </w:rPr>
        <w:t>has the practical effect of allowing arrangers to mitigate their liability through disclaimers.</w:t>
      </w:r>
      <w:r w:rsidR="00F55662" w:rsidRPr="00BB306E">
        <w:rPr>
          <w:rStyle w:val="FootnoteReference"/>
          <w:rFonts w:ascii="Times New Roman" w:hAnsi="Times New Roman" w:cs="Times New Roman"/>
          <w:sz w:val="20"/>
          <w:szCs w:val="20"/>
        </w:rPr>
        <w:footnoteReference w:id="29"/>
      </w:r>
      <w:r w:rsidR="00744853" w:rsidRPr="00BB306E">
        <w:rPr>
          <w:rFonts w:ascii="Times New Roman" w:hAnsi="Times New Roman" w:cs="Times New Roman"/>
          <w:sz w:val="20"/>
          <w:szCs w:val="20"/>
        </w:rPr>
        <w:t xml:space="preserve"> </w:t>
      </w:r>
    </w:p>
    <w:p w14:paraId="69BD634E" w14:textId="04CCA653" w:rsidR="007A576E" w:rsidRPr="00BB306E" w:rsidRDefault="007A576E"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In sum, the court’s ruling on the disclaimer clause in </w:t>
      </w:r>
      <w:r w:rsidRPr="00BB306E">
        <w:rPr>
          <w:rFonts w:ascii="Times New Roman" w:hAnsi="Times New Roman" w:cs="Times New Roman"/>
          <w:i/>
          <w:sz w:val="20"/>
          <w:szCs w:val="20"/>
        </w:rPr>
        <w:t xml:space="preserve">IFE Fund </w:t>
      </w:r>
      <w:r w:rsidRPr="00BB306E">
        <w:rPr>
          <w:rFonts w:ascii="Times New Roman" w:hAnsi="Times New Roman" w:cs="Times New Roman"/>
          <w:sz w:val="20"/>
          <w:szCs w:val="20"/>
        </w:rPr>
        <w:t>signifies that a court is likely to defer to the parties’ allocation of liabilities and responsibilities as set forth in the Memorandum. Thus, the disclaimer will probably benefit the arranging bank for its exculpatory effects.</w:t>
      </w:r>
      <w:r w:rsidRPr="00BB306E">
        <w:rPr>
          <w:rStyle w:val="FootnoteReference"/>
          <w:rFonts w:ascii="Times New Roman" w:hAnsi="Times New Roman" w:cs="Times New Roman"/>
          <w:sz w:val="20"/>
          <w:szCs w:val="20"/>
        </w:rPr>
        <w:footnoteReference w:id="30"/>
      </w:r>
      <w:r w:rsidRPr="00BB306E">
        <w:rPr>
          <w:rFonts w:ascii="Times New Roman" w:hAnsi="Times New Roman" w:cs="Times New Roman"/>
          <w:sz w:val="20"/>
          <w:szCs w:val="20"/>
        </w:rPr>
        <w:t xml:space="preserve"> This will likely be true whether or not the disclaimer is considered part of a contract.</w:t>
      </w:r>
      <w:r w:rsidRPr="00BB306E">
        <w:rPr>
          <w:rStyle w:val="FootnoteReference"/>
          <w:rFonts w:ascii="Times New Roman" w:hAnsi="Times New Roman" w:cs="Times New Roman"/>
          <w:sz w:val="20"/>
          <w:szCs w:val="20"/>
        </w:rPr>
        <w:footnoteReference w:id="31"/>
      </w:r>
      <w:r w:rsidRPr="00BB306E">
        <w:rPr>
          <w:rFonts w:ascii="Times New Roman" w:hAnsi="Times New Roman" w:cs="Times New Roman"/>
          <w:sz w:val="20"/>
          <w:szCs w:val="20"/>
        </w:rPr>
        <w:t xml:space="preserve"> </w:t>
      </w:r>
    </w:p>
    <w:p w14:paraId="408C792B" w14:textId="33875465" w:rsidR="00F87E6C" w:rsidRPr="00BB306E" w:rsidRDefault="00F87E6C" w:rsidP="00BB306E">
      <w:pPr>
        <w:rPr>
          <w:rFonts w:ascii="Times New Roman" w:hAnsi="Times New Roman" w:cs="Times New Roman"/>
          <w:sz w:val="20"/>
          <w:szCs w:val="20"/>
        </w:rPr>
      </w:pPr>
    </w:p>
    <w:p w14:paraId="1EF2B404" w14:textId="3DCCAEDD" w:rsidR="00003BDC" w:rsidRPr="00BB306E" w:rsidRDefault="00003BDC" w:rsidP="00BB306E">
      <w:pPr>
        <w:pStyle w:val="ListParagraph"/>
        <w:numPr>
          <w:ilvl w:val="1"/>
          <w:numId w:val="4"/>
        </w:numPr>
        <w:rPr>
          <w:rFonts w:ascii="Times New Roman" w:hAnsi="Times New Roman" w:cs="Times New Roman"/>
          <w:sz w:val="20"/>
          <w:szCs w:val="20"/>
          <w:u w:val="single"/>
        </w:rPr>
      </w:pPr>
      <w:proofErr w:type="spellStart"/>
      <w:r w:rsidRPr="00B467C3">
        <w:rPr>
          <w:rFonts w:ascii="Times New Roman" w:hAnsi="Times New Roman" w:cs="Times New Roman"/>
          <w:i/>
          <w:color w:val="FF0000"/>
          <w:sz w:val="20"/>
          <w:szCs w:val="20"/>
          <w:u w:val="single"/>
        </w:rPr>
        <w:t>Peekay</w:t>
      </w:r>
      <w:proofErr w:type="spellEnd"/>
      <w:r w:rsidRPr="00B467C3">
        <w:rPr>
          <w:rFonts w:ascii="Times New Roman" w:hAnsi="Times New Roman" w:cs="Times New Roman"/>
          <w:i/>
          <w:color w:val="FF0000"/>
          <w:sz w:val="20"/>
          <w:szCs w:val="20"/>
          <w:u w:val="single"/>
        </w:rPr>
        <w:t xml:space="preserve"> </w:t>
      </w:r>
      <w:proofErr w:type="spellStart"/>
      <w:r w:rsidRPr="00B467C3">
        <w:rPr>
          <w:rFonts w:ascii="Times New Roman" w:hAnsi="Times New Roman" w:cs="Times New Roman"/>
          <w:i/>
          <w:color w:val="FF0000"/>
          <w:sz w:val="20"/>
          <w:szCs w:val="20"/>
          <w:u w:val="single"/>
        </w:rPr>
        <w:t>Intermark</w:t>
      </w:r>
      <w:proofErr w:type="spellEnd"/>
      <w:r w:rsidRPr="00B467C3">
        <w:rPr>
          <w:rFonts w:ascii="Times New Roman" w:hAnsi="Times New Roman" w:cs="Times New Roman"/>
          <w:i/>
          <w:color w:val="FF0000"/>
          <w:sz w:val="20"/>
          <w:szCs w:val="20"/>
          <w:u w:val="single"/>
        </w:rPr>
        <w:t xml:space="preserve"> Ltd v. Australia and New Zealand Banking Group Ltd</w:t>
      </w:r>
    </w:p>
    <w:p w14:paraId="0D2B0A86" w14:textId="77777777" w:rsidR="00003BDC" w:rsidRPr="00BB306E" w:rsidRDefault="00003BDC" w:rsidP="00BB306E">
      <w:pPr>
        <w:ind w:firstLine="2160"/>
        <w:rPr>
          <w:rFonts w:ascii="Times New Roman" w:hAnsi="Times New Roman" w:cs="Times New Roman"/>
          <w:sz w:val="20"/>
          <w:szCs w:val="20"/>
        </w:rPr>
      </w:pPr>
    </w:p>
    <w:p w14:paraId="7E106183" w14:textId="3C47E0C9" w:rsidR="00003BDC" w:rsidRPr="00BB306E" w:rsidRDefault="007D1596" w:rsidP="00BB306E">
      <w:pPr>
        <w:ind w:firstLine="1440"/>
        <w:rPr>
          <w:rFonts w:ascii="Times New Roman" w:hAnsi="Times New Roman" w:cs="Times New Roman"/>
          <w:i/>
          <w:sz w:val="20"/>
          <w:szCs w:val="20"/>
        </w:rPr>
      </w:pPr>
      <w:r w:rsidRPr="00BB306E">
        <w:rPr>
          <w:rFonts w:ascii="Times New Roman" w:hAnsi="Times New Roman" w:cs="Times New Roman"/>
          <w:sz w:val="20"/>
          <w:szCs w:val="20"/>
        </w:rPr>
        <w:t xml:space="preserve">In </w:t>
      </w:r>
      <w:proofErr w:type="spellStart"/>
      <w:r w:rsidRPr="00BB306E">
        <w:rPr>
          <w:rFonts w:ascii="Times New Roman" w:hAnsi="Times New Roman" w:cs="Times New Roman"/>
          <w:i/>
          <w:sz w:val="20"/>
          <w:szCs w:val="20"/>
        </w:rPr>
        <w:t>Peekay</w:t>
      </w:r>
      <w:proofErr w:type="spellEnd"/>
      <w:r w:rsidRPr="00BB306E">
        <w:rPr>
          <w:rFonts w:ascii="Times New Roman" w:hAnsi="Times New Roman" w:cs="Times New Roman"/>
          <w:sz w:val="20"/>
          <w:szCs w:val="20"/>
        </w:rPr>
        <w:t>, the claimant’s misrepresentation claim failed when the</w:t>
      </w:r>
      <w:r w:rsidR="007A2CF3" w:rsidRPr="00BB306E">
        <w:rPr>
          <w:rFonts w:ascii="Times New Roman" w:hAnsi="Times New Roman" w:cs="Times New Roman"/>
          <w:sz w:val="20"/>
          <w:szCs w:val="20"/>
        </w:rPr>
        <w:t xml:space="preserve"> defendant</w:t>
      </w:r>
      <w:r w:rsidRPr="00BB306E">
        <w:rPr>
          <w:rFonts w:ascii="Times New Roman" w:hAnsi="Times New Roman" w:cs="Times New Roman"/>
          <w:sz w:val="20"/>
          <w:szCs w:val="20"/>
        </w:rPr>
        <w:t xml:space="preserve"> </w:t>
      </w:r>
      <w:r w:rsidR="007A2CF3" w:rsidRPr="00BB306E">
        <w:rPr>
          <w:rFonts w:ascii="Times New Roman" w:hAnsi="Times New Roman" w:cs="Times New Roman"/>
          <w:sz w:val="20"/>
          <w:szCs w:val="20"/>
        </w:rPr>
        <w:t xml:space="preserve">bank’s </w:t>
      </w:r>
      <w:r w:rsidRPr="00BB306E">
        <w:rPr>
          <w:rFonts w:ascii="Times New Roman" w:hAnsi="Times New Roman" w:cs="Times New Roman"/>
          <w:sz w:val="20"/>
          <w:szCs w:val="20"/>
        </w:rPr>
        <w:t xml:space="preserve">terms and conditions </w:t>
      </w:r>
      <w:r w:rsidR="007A2CF3" w:rsidRPr="00BB306E">
        <w:rPr>
          <w:rFonts w:ascii="Times New Roman" w:hAnsi="Times New Roman" w:cs="Times New Roman"/>
          <w:sz w:val="20"/>
          <w:szCs w:val="20"/>
        </w:rPr>
        <w:t>for the investment made clear that</w:t>
      </w:r>
      <w:r w:rsidRPr="00BB306E">
        <w:rPr>
          <w:rFonts w:ascii="Times New Roman" w:hAnsi="Times New Roman" w:cs="Times New Roman"/>
          <w:sz w:val="20"/>
          <w:szCs w:val="20"/>
        </w:rPr>
        <w:t xml:space="preserve"> the investment was</w:t>
      </w:r>
      <w:r w:rsidR="007A2CF3" w:rsidRPr="00BB306E">
        <w:rPr>
          <w:rFonts w:ascii="Times New Roman" w:hAnsi="Times New Roman" w:cs="Times New Roman"/>
          <w:sz w:val="20"/>
          <w:szCs w:val="20"/>
        </w:rPr>
        <w:t xml:space="preserve"> fundamentally</w:t>
      </w:r>
      <w:r w:rsidRPr="00BB306E">
        <w:rPr>
          <w:rFonts w:ascii="Times New Roman" w:hAnsi="Times New Roman" w:cs="Times New Roman"/>
          <w:sz w:val="20"/>
          <w:szCs w:val="20"/>
        </w:rPr>
        <w:t xml:space="preserve"> </w:t>
      </w:r>
      <w:r w:rsidR="007A2CF3" w:rsidRPr="00BB306E">
        <w:rPr>
          <w:rFonts w:ascii="Times New Roman" w:hAnsi="Times New Roman" w:cs="Times New Roman"/>
          <w:sz w:val="20"/>
          <w:szCs w:val="20"/>
        </w:rPr>
        <w:t xml:space="preserve">different </w:t>
      </w:r>
      <w:r w:rsidRPr="00BB306E">
        <w:rPr>
          <w:rFonts w:ascii="Times New Roman" w:hAnsi="Times New Roman" w:cs="Times New Roman"/>
          <w:sz w:val="20"/>
          <w:szCs w:val="20"/>
        </w:rPr>
        <w:t xml:space="preserve">than what </w:t>
      </w:r>
      <w:r w:rsidR="007A2CF3" w:rsidRPr="00BB306E">
        <w:rPr>
          <w:rFonts w:ascii="Times New Roman" w:hAnsi="Times New Roman" w:cs="Times New Roman"/>
          <w:sz w:val="20"/>
          <w:szCs w:val="20"/>
        </w:rPr>
        <w:t>the claimant</w:t>
      </w:r>
      <w:r w:rsidRPr="00BB306E">
        <w:rPr>
          <w:rFonts w:ascii="Times New Roman" w:hAnsi="Times New Roman" w:cs="Times New Roman"/>
          <w:sz w:val="20"/>
          <w:szCs w:val="20"/>
        </w:rPr>
        <w:t xml:space="preserve"> had been told</w:t>
      </w:r>
      <w:r w:rsidR="00B56185" w:rsidRPr="00BB306E">
        <w:rPr>
          <w:rFonts w:ascii="Times New Roman" w:hAnsi="Times New Roman" w:cs="Times New Roman"/>
          <w:sz w:val="20"/>
          <w:szCs w:val="20"/>
        </w:rPr>
        <w:t>, and the claimant signed those terms and made them part of the contract for the investment.</w:t>
      </w:r>
      <w:r w:rsidR="00B56185" w:rsidRPr="00BB306E">
        <w:rPr>
          <w:rStyle w:val="FootnoteReference"/>
          <w:rFonts w:ascii="Times New Roman" w:hAnsi="Times New Roman" w:cs="Times New Roman"/>
          <w:sz w:val="20"/>
          <w:szCs w:val="20"/>
        </w:rPr>
        <w:footnoteReference w:id="32"/>
      </w:r>
      <w:r w:rsidR="00B56185" w:rsidRPr="00BB306E">
        <w:rPr>
          <w:rFonts w:ascii="Times New Roman" w:hAnsi="Times New Roman" w:cs="Times New Roman"/>
          <w:sz w:val="20"/>
          <w:szCs w:val="20"/>
        </w:rPr>
        <w:t xml:space="preserve"> </w:t>
      </w:r>
      <w:r w:rsidR="007F43E6" w:rsidRPr="00BB306E">
        <w:rPr>
          <w:rFonts w:ascii="Times New Roman" w:hAnsi="Times New Roman" w:cs="Times New Roman"/>
          <w:sz w:val="20"/>
          <w:szCs w:val="20"/>
        </w:rPr>
        <w:t xml:space="preserve">While the defendant </w:t>
      </w:r>
      <w:r w:rsidR="00245257" w:rsidRPr="00BB306E">
        <w:rPr>
          <w:rFonts w:ascii="Times New Roman" w:hAnsi="Times New Roman" w:cs="Times New Roman"/>
          <w:sz w:val="20"/>
          <w:szCs w:val="20"/>
        </w:rPr>
        <w:t xml:space="preserve">in this case </w:t>
      </w:r>
      <w:r w:rsidR="007F43E6" w:rsidRPr="00BB306E">
        <w:rPr>
          <w:rFonts w:ascii="Times New Roman" w:hAnsi="Times New Roman" w:cs="Times New Roman"/>
          <w:sz w:val="20"/>
          <w:szCs w:val="20"/>
        </w:rPr>
        <w:t>is an investment bank and not an arranging bank of a syndicated loan,</w:t>
      </w:r>
      <w:r w:rsidR="00245257" w:rsidRPr="00BB306E">
        <w:rPr>
          <w:rFonts w:ascii="Times New Roman" w:hAnsi="Times New Roman" w:cs="Times New Roman"/>
          <w:sz w:val="20"/>
          <w:szCs w:val="20"/>
        </w:rPr>
        <w:t xml:space="preserve"> </w:t>
      </w:r>
      <w:r w:rsidR="002602E6" w:rsidRPr="00BB306E">
        <w:rPr>
          <w:rFonts w:ascii="Times New Roman" w:hAnsi="Times New Roman" w:cs="Times New Roman"/>
          <w:sz w:val="20"/>
          <w:szCs w:val="20"/>
        </w:rPr>
        <w:t>the principle</w:t>
      </w:r>
      <w:r w:rsidR="00AE47CE" w:rsidRPr="00BB306E">
        <w:rPr>
          <w:rFonts w:ascii="Times New Roman" w:hAnsi="Times New Roman" w:cs="Times New Roman"/>
          <w:sz w:val="20"/>
          <w:szCs w:val="20"/>
        </w:rPr>
        <w:t xml:space="preserve"> </w:t>
      </w:r>
      <w:r w:rsidR="002602E6" w:rsidRPr="00BB306E">
        <w:rPr>
          <w:rFonts w:ascii="Times New Roman" w:hAnsi="Times New Roman" w:cs="Times New Roman"/>
          <w:sz w:val="20"/>
          <w:szCs w:val="20"/>
        </w:rPr>
        <w:t>emerging</w:t>
      </w:r>
      <w:r w:rsidR="00245257" w:rsidRPr="00BB306E">
        <w:rPr>
          <w:rFonts w:ascii="Times New Roman" w:hAnsi="Times New Roman" w:cs="Times New Roman"/>
          <w:sz w:val="20"/>
          <w:szCs w:val="20"/>
        </w:rPr>
        <w:t xml:space="preserve"> from </w:t>
      </w:r>
      <w:proofErr w:type="spellStart"/>
      <w:r w:rsidR="00245257" w:rsidRPr="00BB306E">
        <w:rPr>
          <w:rFonts w:ascii="Times New Roman" w:hAnsi="Times New Roman" w:cs="Times New Roman"/>
          <w:i/>
          <w:sz w:val="20"/>
          <w:szCs w:val="20"/>
        </w:rPr>
        <w:t>Peekay</w:t>
      </w:r>
      <w:proofErr w:type="spellEnd"/>
      <w:r w:rsidR="00245257" w:rsidRPr="00BB306E">
        <w:rPr>
          <w:rFonts w:ascii="Times New Roman" w:hAnsi="Times New Roman" w:cs="Times New Roman"/>
          <w:i/>
          <w:sz w:val="20"/>
          <w:szCs w:val="20"/>
        </w:rPr>
        <w:t xml:space="preserve"> </w:t>
      </w:r>
      <w:r w:rsidR="00245257" w:rsidRPr="00BB306E">
        <w:rPr>
          <w:rFonts w:ascii="Times New Roman" w:hAnsi="Times New Roman" w:cs="Times New Roman"/>
          <w:sz w:val="20"/>
          <w:szCs w:val="20"/>
        </w:rPr>
        <w:t xml:space="preserve">was relied upon in </w:t>
      </w:r>
      <w:proofErr w:type="spellStart"/>
      <w:r w:rsidR="00245257" w:rsidRPr="00BB306E">
        <w:rPr>
          <w:rFonts w:ascii="Times New Roman" w:hAnsi="Times New Roman" w:cs="Times New Roman"/>
          <w:i/>
          <w:sz w:val="20"/>
          <w:szCs w:val="20"/>
        </w:rPr>
        <w:t>Springwell</w:t>
      </w:r>
      <w:proofErr w:type="spellEnd"/>
      <w:r w:rsidR="00245257" w:rsidRPr="00BB306E">
        <w:rPr>
          <w:rFonts w:ascii="Times New Roman" w:hAnsi="Times New Roman" w:cs="Times New Roman"/>
          <w:i/>
          <w:sz w:val="20"/>
          <w:szCs w:val="20"/>
        </w:rPr>
        <w:t>.</w:t>
      </w:r>
      <w:r w:rsidR="00245257" w:rsidRPr="00BB306E">
        <w:rPr>
          <w:rStyle w:val="FootnoteReference"/>
          <w:rFonts w:ascii="Times New Roman" w:hAnsi="Times New Roman" w:cs="Times New Roman"/>
          <w:i/>
          <w:sz w:val="20"/>
          <w:szCs w:val="20"/>
        </w:rPr>
        <w:footnoteReference w:id="33"/>
      </w:r>
    </w:p>
    <w:p w14:paraId="6A4D120C" w14:textId="77777777" w:rsidR="008E55DB" w:rsidRPr="00BB306E" w:rsidRDefault="008E55DB" w:rsidP="00BB306E">
      <w:pPr>
        <w:ind w:firstLine="1440"/>
        <w:rPr>
          <w:rFonts w:ascii="Times New Roman" w:hAnsi="Times New Roman" w:cs="Times New Roman"/>
          <w:sz w:val="20"/>
          <w:szCs w:val="20"/>
          <w:u w:val="single"/>
        </w:rPr>
      </w:pPr>
    </w:p>
    <w:p w14:paraId="205EA783" w14:textId="77777777" w:rsidR="008E55DB" w:rsidRPr="00BB306E" w:rsidRDefault="008E55DB" w:rsidP="00BB306E">
      <w:pPr>
        <w:pStyle w:val="ListParagraph"/>
        <w:numPr>
          <w:ilvl w:val="2"/>
          <w:numId w:val="4"/>
        </w:numPr>
        <w:rPr>
          <w:rFonts w:ascii="Times New Roman" w:hAnsi="Times New Roman" w:cs="Times New Roman"/>
          <w:sz w:val="20"/>
          <w:szCs w:val="20"/>
          <w:u w:val="single"/>
        </w:rPr>
      </w:pPr>
      <w:r w:rsidRPr="00BB306E">
        <w:rPr>
          <w:rFonts w:ascii="Times New Roman" w:hAnsi="Times New Roman" w:cs="Times New Roman"/>
          <w:sz w:val="20"/>
          <w:szCs w:val="20"/>
          <w:u w:val="single"/>
        </w:rPr>
        <w:t>Case Summary and Analysis</w:t>
      </w:r>
    </w:p>
    <w:p w14:paraId="29BA3ED0" w14:textId="77777777" w:rsidR="008E55DB" w:rsidRPr="00BB306E" w:rsidRDefault="008E55DB" w:rsidP="00BB306E">
      <w:pPr>
        <w:pStyle w:val="ListParagraph"/>
        <w:ind w:left="2160"/>
        <w:rPr>
          <w:rFonts w:ascii="Times New Roman" w:hAnsi="Times New Roman" w:cs="Times New Roman"/>
          <w:sz w:val="20"/>
          <w:szCs w:val="20"/>
          <w:u w:val="single"/>
        </w:rPr>
      </w:pPr>
    </w:p>
    <w:p w14:paraId="0A074469" w14:textId="2C874FB8" w:rsidR="009C25D3" w:rsidRPr="00BB306E" w:rsidRDefault="00EC5C0D"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In </w:t>
      </w:r>
      <w:proofErr w:type="spellStart"/>
      <w:r w:rsidRPr="00BB306E">
        <w:rPr>
          <w:rFonts w:ascii="Times New Roman" w:hAnsi="Times New Roman" w:cs="Times New Roman"/>
          <w:i/>
          <w:sz w:val="20"/>
          <w:szCs w:val="20"/>
        </w:rPr>
        <w:t>Peekay</w:t>
      </w:r>
      <w:proofErr w:type="spellEnd"/>
      <w:r w:rsidRPr="00BB306E">
        <w:rPr>
          <w:rFonts w:ascii="Times New Roman" w:hAnsi="Times New Roman" w:cs="Times New Roman"/>
          <w:sz w:val="20"/>
          <w:szCs w:val="20"/>
        </w:rPr>
        <w:t xml:space="preserve">, a director of the claimant company (“Mr. P”) regularly invested in emerging market instruments </w:t>
      </w:r>
      <w:r w:rsidR="006E131B" w:rsidRPr="00BB306E">
        <w:rPr>
          <w:rFonts w:ascii="Times New Roman" w:hAnsi="Times New Roman" w:cs="Times New Roman"/>
          <w:sz w:val="20"/>
          <w:szCs w:val="20"/>
        </w:rPr>
        <w:t xml:space="preserve">on behalf of </w:t>
      </w:r>
      <w:proofErr w:type="spellStart"/>
      <w:r w:rsidR="006E131B" w:rsidRPr="00BB306E">
        <w:rPr>
          <w:rFonts w:ascii="Times New Roman" w:hAnsi="Times New Roman" w:cs="Times New Roman"/>
          <w:sz w:val="20"/>
          <w:szCs w:val="20"/>
        </w:rPr>
        <w:t>Peekay</w:t>
      </w:r>
      <w:proofErr w:type="spellEnd"/>
      <w:r w:rsidR="006E131B" w:rsidRPr="00BB306E">
        <w:rPr>
          <w:rFonts w:ascii="Times New Roman" w:hAnsi="Times New Roman" w:cs="Times New Roman"/>
          <w:i/>
          <w:sz w:val="20"/>
          <w:szCs w:val="20"/>
        </w:rPr>
        <w:t xml:space="preserve"> </w:t>
      </w:r>
      <w:r w:rsidRPr="00BB306E">
        <w:rPr>
          <w:rFonts w:ascii="Times New Roman" w:hAnsi="Times New Roman" w:cs="Times New Roman"/>
          <w:sz w:val="20"/>
          <w:szCs w:val="20"/>
        </w:rPr>
        <w:t>through a regional manager (“M</w:t>
      </w:r>
      <w:r w:rsidR="00EE4449" w:rsidRPr="00BB306E">
        <w:rPr>
          <w:rFonts w:ascii="Times New Roman" w:hAnsi="Times New Roman" w:cs="Times New Roman"/>
          <w:sz w:val="20"/>
          <w:szCs w:val="20"/>
        </w:rPr>
        <w:t>r</w:t>
      </w:r>
      <w:r w:rsidRPr="00BB306E">
        <w:rPr>
          <w:rFonts w:ascii="Times New Roman" w:hAnsi="Times New Roman" w:cs="Times New Roman"/>
          <w:sz w:val="20"/>
          <w:szCs w:val="20"/>
        </w:rPr>
        <w:t xml:space="preserve">s. B”) of the defendant investment bank’s (“ANZ”) subsidiary. In </w:t>
      </w:r>
      <w:r w:rsidR="00EE4449" w:rsidRPr="00BB306E">
        <w:rPr>
          <w:rFonts w:ascii="Times New Roman" w:hAnsi="Times New Roman" w:cs="Times New Roman"/>
          <w:sz w:val="20"/>
          <w:szCs w:val="20"/>
        </w:rPr>
        <w:t xml:space="preserve">February 1998, Mrs. B asked if Mr. P would be interested in investing in </w:t>
      </w:r>
      <w:r w:rsidR="00F02293" w:rsidRPr="00BB306E">
        <w:rPr>
          <w:rFonts w:ascii="Times New Roman" w:hAnsi="Times New Roman" w:cs="Times New Roman"/>
          <w:sz w:val="20"/>
          <w:szCs w:val="20"/>
        </w:rPr>
        <w:t xml:space="preserve">a </w:t>
      </w:r>
      <w:r w:rsidR="00EE4449" w:rsidRPr="00BB306E">
        <w:rPr>
          <w:rFonts w:ascii="Times New Roman" w:hAnsi="Times New Roman" w:cs="Times New Roman"/>
          <w:sz w:val="20"/>
          <w:szCs w:val="20"/>
        </w:rPr>
        <w:t>GKO</w:t>
      </w:r>
      <w:r w:rsidR="00EE4449" w:rsidRPr="00BB306E">
        <w:rPr>
          <w:rStyle w:val="FootnoteReference"/>
          <w:rFonts w:ascii="Times New Roman" w:hAnsi="Times New Roman" w:cs="Times New Roman"/>
          <w:sz w:val="20"/>
          <w:szCs w:val="20"/>
        </w:rPr>
        <w:footnoteReference w:id="34"/>
      </w:r>
      <w:r w:rsidR="00EE4449" w:rsidRPr="00BB306E">
        <w:rPr>
          <w:rFonts w:ascii="Times New Roman" w:hAnsi="Times New Roman" w:cs="Times New Roman"/>
          <w:sz w:val="20"/>
          <w:szCs w:val="20"/>
        </w:rPr>
        <w:t xml:space="preserve">-linked deposit, which </w:t>
      </w:r>
      <w:r w:rsidR="006E131B" w:rsidRPr="00BB306E">
        <w:rPr>
          <w:rFonts w:ascii="Times New Roman" w:hAnsi="Times New Roman" w:cs="Times New Roman"/>
          <w:sz w:val="20"/>
          <w:szCs w:val="20"/>
        </w:rPr>
        <w:t>she described to him in rough terms</w:t>
      </w:r>
      <w:r w:rsidR="00EE4449" w:rsidRPr="00BB306E">
        <w:rPr>
          <w:rFonts w:ascii="Times New Roman" w:hAnsi="Times New Roman" w:cs="Times New Roman"/>
          <w:sz w:val="20"/>
          <w:szCs w:val="20"/>
        </w:rPr>
        <w:t xml:space="preserve">. In her description, </w:t>
      </w:r>
      <w:r w:rsidR="00F02293" w:rsidRPr="00BB306E">
        <w:rPr>
          <w:rFonts w:ascii="Times New Roman" w:hAnsi="Times New Roman" w:cs="Times New Roman"/>
          <w:sz w:val="20"/>
          <w:szCs w:val="20"/>
        </w:rPr>
        <w:t>Mrs. B</w:t>
      </w:r>
      <w:r w:rsidR="00EE4449" w:rsidRPr="00BB306E">
        <w:rPr>
          <w:rFonts w:ascii="Times New Roman" w:hAnsi="Times New Roman" w:cs="Times New Roman"/>
          <w:sz w:val="20"/>
          <w:szCs w:val="20"/>
        </w:rPr>
        <w:t xml:space="preserve"> conveyed what she believed to be true</w:t>
      </w:r>
      <w:r w:rsidR="006E131B" w:rsidRPr="00BB306E">
        <w:rPr>
          <w:rFonts w:ascii="Times New Roman" w:hAnsi="Times New Roman" w:cs="Times New Roman"/>
          <w:sz w:val="20"/>
          <w:szCs w:val="20"/>
        </w:rPr>
        <w:t xml:space="preserve"> about the proposed investment; thus</w:t>
      </w:r>
      <w:r w:rsidR="00F02293" w:rsidRPr="00BB306E">
        <w:rPr>
          <w:rFonts w:ascii="Times New Roman" w:hAnsi="Times New Roman" w:cs="Times New Roman"/>
          <w:sz w:val="20"/>
          <w:szCs w:val="20"/>
        </w:rPr>
        <w:t>,</w:t>
      </w:r>
      <w:r w:rsidR="006E131B" w:rsidRPr="00BB306E">
        <w:rPr>
          <w:rFonts w:ascii="Times New Roman" w:hAnsi="Times New Roman" w:cs="Times New Roman"/>
          <w:sz w:val="20"/>
          <w:szCs w:val="20"/>
        </w:rPr>
        <w:t xml:space="preserve"> she did not tell Mr. P</w:t>
      </w:r>
      <w:r w:rsidR="00EE4449" w:rsidRPr="00BB306E">
        <w:rPr>
          <w:rFonts w:ascii="Times New Roman" w:hAnsi="Times New Roman" w:cs="Times New Roman"/>
          <w:sz w:val="20"/>
          <w:szCs w:val="20"/>
        </w:rPr>
        <w:t xml:space="preserve"> </w:t>
      </w:r>
      <w:r w:rsidR="006E131B" w:rsidRPr="00BB306E">
        <w:rPr>
          <w:rFonts w:ascii="Times New Roman" w:hAnsi="Times New Roman" w:cs="Times New Roman"/>
          <w:sz w:val="20"/>
          <w:szCs w:val="20"/>
        </w:rPr>
        <w:t>that</w:t>
      </w:r>
      <w:r w:rsidR="00EE4449" w:rsidRPr="00BB306E">
        <w:rPr>
          <w:rFonts w:ascii="Times New Roman" w:hAnsi="Times New Roman" w:cs="Times New Roman"/>
          <w:sz w:val="20"/>
          <w:szCs w:val="20"/>
        </w:rPr>
        <w:t xml:space="preserve"> investors would not have control over liquidation in an event of sovereign default. Mr</w:t>
      </w:r>
      <w:r w:rsidR="006E131B" w:rsidRPr="00BB306E">
        <w:rPr>
          <w:rFonts w:ascii="Times New Roman" w:hAnsi="Times New Roman" w:cs="Times New Roman"/>
          <w:sz w:val="20"/>
          <w:szCs w:val="20"/>
        </w:rPr>
        <w:t>. P</w:t>
      </w:r>
      <w:r w:rsidR="00EE4449" w:rsidRPr="00BB306E">
        <w:rPr>
          <w:rFonts w:ascii="Times New Roman" w:hAnsi="Times New Roman" w:cs="Times New Roman"/>
          <w:sz w:val="20"/>
          <w:szCs w:val="20"/>
        </w:rPr>
        <w:t xml:space="preserve"> expressed an interest in investing $250,000 in the product. </w:t>
      </w:r>
      <w:r w:rsidR="00393DEF" w:rsidRPr="00BB306E">
        <w:rPr>
          <w:rFonts w:ascii="Times New Roman" w:hAnsi="Times New Roman" w:cs="Times New Roman"/>
          <w:sz w:val="20"/>
          <w:szCs w:val="20"/>
        </w:rPr>
        <w:t xml:space="preserve">Then, Mrs. B forwarded Mr. P a document containing final terms and conditions (“FTCs”). </w:t>
      </w:r>
    </w:p>
    <w:p w14:paraId="172B6281" w14:textId="53D81E00" w:rsidR="00003BDC" w:rsidRPr="00BB306E" w:rsidRDefault="00393DEF" w:rsidP="00BB306E">
      <w:pPr>
        <w:ind w:firstLine="2160"/>
        <w:rPr>
          <w:rFonts w:ascii="Times New Roman" w:hAnsi="Times New Roman" w:cs="Times New Roman"/>
          <w:sz w:val="20"/>
          <w:szCs w:val="20"/>
          <w:u w:val="single"/>
        </w:rPr>
      </w:pPr>
      <w:r w:rsidRPr="00BB306E">
        <w:rPr>
          <w:rFonts w:ascii="Times New Roman" w:hAnsi="Times New Roman" w:cs="Times New Roman"/>
          <w:sz w:val="20"/>
          <w:szCs w:val="20"/>
        </w:rPr>
        <w:t>The FTCs did not relate to the product that Mrs. B had roughly described to Mr. P. The FTC</w:t>
      </w:r>
      <w:r w:rsidR="006E131B" w:rsidRPr="00BB306E">
        <w:rPr>
          <w:rFonts w:ascii="Times New Roman" w:hAnsi="Times New Roman" w:cs="Times New Roman"/>
          <w:sz w:val="20"/>
          <w:szCs w:val="20"/>
        </w:rPr>
        <w:t>s</w:t>
      </w:r>
      <w:r w:rsidR="002B0CF8" w:rsidRPr="00BB306E">
        <w:rPr>
          <w:rFonts w:ascii="Times New Roman" w:hAnsi="Times New Roman" w:cs="Times New Roman"/>
          <w:sz w:val="20"/>
          <w:szCs w:val="20"/>
        </w:rPr>
        <w:t xml:space="preserve"> did contain </w:t>
      </w:r>
      <w:r w:rsidR="006E131B" w:rsidRPr="00BB306E">
        <w:rPr>
          <w:rFonts w:ascii="Times New Roman" w:hAnsi="Times New Roman" w:cs="Times New Roman"/>
          <w:sz w:val="20"/>
          <w:szCs w:val="20"/>
        </w:rPr>
        <w:t>va</w:t>
      </w:r>
      <w:r w:rsidR="003F740D" w:rsidRPr="00BB306E">
        <w:rPr>
          <w:rFonts w:ascii="Times New Roman" w:hAnsi="Times New Roman" w:cs="Times New Roman"/>
          <w:sz w:val="20"/>
          <w:szCs w:val="20"/>
        </w:rPr>
        <w:t xml:space="preserve">rious disclaimers, including a </w:t>
      </w:r>
      <w:r w:rsidRPr="00BB306E">
        <w:rPr>
          <w:rFonts w:ascii="Times New Roman" w:hAnsi="Times New Roman" w:cs="Times New Roman"/>
          <w:sz w:val="20"/>
          <w:szCs w:val="20"/>
        </w:rPr>
        <w:t>“</w:t>
      </w:r>
      <w:r w:rsidR="003F740D" w:rsidRPr="00BB306E">
        <w:rPr>
          <w:rFonts w:ascii="Times New Roman" w:hAnsi="Times New Roman" w:cs="Times New Roman"/>
          <w:sz w:val="20"/>
          <w:szCs w:val="20"/>
        </w:rPr>
        <w:t>Risk Disclosure Statement</w:t>
      </w:r>
      <w:r w:rsidRPr="00BB306E">
        <w:rPr>
          <w:rFonts w:ascii="Times New Roman" w:hAnsi="Times New Roman" w:cs="Times New Roman"/>
          <w:sz w:val="20"/>
          <w:szCs w:val="20"/>
        </w:rPr>
        <w:t xml:space="preserve">” </w:t>
      </w:r>
      <w:r w:rsidR="006E131B" w:rsidRPr="00BB306E">
        <w:rPr>
          <w:rFonts w:ascii="Times New Roman" w:hAnsi="Times New Roman" w:cs="Times New Roman"/>
          <w:sz w:val="20"/>
          <w:szCs w:val="20"/>
        </w:rPr>
        <w:t>(the “Notice”). It stated</w:t>
      </w:r>
      <w:r w:rsidRPr="00BB306E">
        <w:rPr>
          <w:rFonts w:ascii="Times New Roman" w:hAnsi="Times New Roman" w:cs="Times New Roman"/>
          <w:sz w:val="20"/>
          <w:szCs w:val="20"/>
        </w:rPr>
        <w:t xml:space="preserve"> the investor was to make an independent assessment of the investment and that the investor fully understood </w:t>
      </w:r>
      <w:r w:rsidR="006E131B" w:rsidRPr="00BB306E">
        <w:rPr>
          <w:rFonts w:ascii="Times New Roman" w:hAnsi="Times New Roman" w:cs="Times New Roman"/>
          <w:sz w:val="20"/>
          <w:szCs w:val="20"/>
        </w:rPr>
        <w:t xml:space="preserve">the risks </w:t>
      </w:r>
      <w:r w:rsidR="00836CBF" w:rsidRPr="00BB306E">
        <w:rPr>
          <w:rFonts w:ascii="Times New Roman" w:hAnsi="Times New Roman" w:cs="Times New Roman"/>
          <w:sz w:val="20"/>
          <w:szCs w:val="20"/>
        </w:rPr>
        <w:t>involved</w:t>
      </w:r>
      <w:r w:rsidRPr="00BB306E">
        <w:rPr>
          <w:rFonts w:ascii="Times New Roman" w:hAnsi="Times New Roman" w:cs="Times New Roman"/>
          <w:sz w:val="20"/>
          <w:szCs w:val="20"/>
        </w:rPr>
        <w:t>.</w:t>
      </w:r>
      <w:r w:rsidRPr="00BB306E">
        <w:rPr>
          <w:rStyle w:val="FootnoteReference"/>
          <w:rFonts w:ascii="Times New Roman" w:hAnsi="Times New Roman" w:cs="Times New Roman"/>
          <w:sz w:val="20"/>
          <w:szCs w:val="20"/>
        </w:rPr>
        <w:footnoteReference w:id="35"/>
      </w:r>
      <w:r w:rsidR="00503D9D" w:rsidRPr="00BB306E">
        <w:rPr>
          <w:rFonts w:ascii="Times New Roman" w:hAnsi="Times New Roman" w:cs="Times New Roman"/>
          <w:sz w:val="20"/>
          <w:szCs w:val="20"/>
        </w:rPr>
        <w:t xml:space="preserve"> Mr. P </w:t>
      </w:r>
      <w:r w:rsidR="00E16FAA" w:rsidRPr="00BB306E">
        <w:rPr>
          <w:rFonts w:ascii="Times New Roman" w:hAnsi="Times New Roman" w:cs="Times New Roman"/>
          <w:sz w:val="20"/>
          <w:szCs w:val="20"/>
        </w:rPr>
        <w:t xml:space="preserve">briefly looked at the FTCs and </w:t>
      </w:r>
      <w:r w:rsidR="003F740D" w:rsidRPr="00BB306E">
        <w:rPr>
          <w:rFonts w:ascii="Times New Roman" w:hAnsi="Times New Roman" w:cs="Times New Roman"/>
          <w:sz w:val="20"/>
          <w:szCs w:val="20"/>
        </w:rPr>
        <w:t>signed t</w:t>
      </w:r>
      <w:r w:rsidR="00E16FAA" w:rsidRPr="00BB306E">
        <w:rPr>
          <w:rFonts w:ascii="Times New Roman" w:hAnsi="Times New Roman" w:cs="Times New Roman"/>
          <w:sz w:val="20"/>
          <w:szCs w:val="20"/>
        </w:rPr>
        <w:t>hem. He</w:t>
      </w:r>
      <w:r w:rsidR="005A25C2" w:rsidRPr="00BB306E">
        <w:rPr>
          <w:rFonts w:ascii="Times New Roman" w:hAnsi="Times New Roman" w:cs="Times New Roman"/>
          <w:sz w:val="20"/>
          <w:szCs w:val="20"/>
        </w:rPr>
        <w:t xml:space="preserve"> returned them with instructions to make an order </w:t>
      </w:r>
      <w:r w:rsidR="00E84EAD" w:rsidRPr="00BB306E">
        <w:rPr>
          <w:rFonts w:ascii="Times New Roman" w:hAnsi="Times New Roman" w:cs="Times New Roman"/>
          <w:sz w:val="20"/>
          <w:szCs w:val="20"/>
        </w:rPr>
        <w:t>for the “Russian Hedged GKO Note as per the attached document”.</w:t>
      </w:r>
      <w:r w:rsidR="00E84EAD" w:rsidRPr="00BB306E">
        <w:rPr>
          <w:rStyle w:val="FootnoteReference"/>
          <w:rFonts w:ascii="Times New Roman" w:hAnsi="Times New Roman" w:cs="Times New Roman"/>
          <w:sz w:val="20"/>
          <w:szCs w:val="20"/>
        </w:rPr>
        <w:footnoteReference w:id="36"/>
      </w:r>
      <w:r w:rsidR="00E84EAD" w:rsidRPr="00BB306E">
        <w:rPr>
          <w:rFonts w:ascii="Times New Roman" w:hAnsi="Times New Roman" w:cs="Times New Roman"/>
          <w:sz w:val="20"/>
          <w:szCs w:val="20"/>
        </w:rPr>
        <w:t xml:space="preserve"> In August 1998, following the Russian government’s moratorium on certain debt </w:t>
      </w:r>
      <w:r w:rsidR="00E16FAA" w:rsidRPr="00BB306E">
        <w:rPr>
          <w:rFonts w:ascii="Times New Roman" w:hAnsi="Times New Roman" w:cs="Times New Roman"/>
          <w:sz w:val="20"/>
          <w:szCs w:val="20"/>
        </w:rPr>
        <w:t>ob</w:t>
      </w:r>
      <w:r w:rsidR="00E84EAD" w:rsidRPr="00BB306E">
        <w:rPr>
          <w:rFonts w:ascii="Times New Roman" w:hAnsi="Times New Roman" w:cs="Times New Roman"/>
          <w:sz w:val="20"/>
          <w:szCs w:val="20"/>
        </w:rPr>
        <w:t xml:space="preserve">ligations, ANZ instituted its default procedures for the GKO, and </w:t>
      </w:r>
      <w:proofErr w:type="spellStart"/>
      <w:r w:rsidR="00E84EAD" w:rsidRPr="00BB306E">
        <w:rPr>
          <w:rFonts w:ascii="Times New Roman" w:hAnsi="Times New Roman" w:cs="Times New Roman"/>
          <w:sz w:val="20"/>
          <w:szCs w:val="20"/>
        </w:rPr>
        <w:t>Peekay</w:t>
      </w:r>
      <w:proofErr w:type="spellEnd"/>
      <w:r w:rsidR="00E84EAD" w:rsidRPr="00BB306E">
        <w:rPr>
          <w:rFonts w:ascii="Times New Roman" w:hAnsi="Times New Roman" w:cs="Times New Roman"/>
          <w:sz w:val="20"/>
          <w:szCs w:val="20"/>
        </w:rPr>
        <w:t xml:space="preserve"> recovered only $5,918.06. </w:t>
      </w:r>
    </w:p>
    <w:p w14:paraId="63E021DF" w14:textId="77777777" w:rsidR="00003BDC" w:rsidRPr="00BB306E" w:rsidRDefault="006441B0" w:rsidP="00BB306E">
      <w:pPr>
        <w:ind w:firstLine="2160"/>
        <w:rPr>
          <w:rFonts w:ascii="Times New Roman" w:hAnsi="Times New Roman" w:cs="Times New Roman"/>
          <w:sz w:val="20"/>
          <w:szCs w:val="20"/>
          <w:u w:val="single"/>
        </w:rPr>
      </w:pPr>
      <w:r w:rsidRPr="00BB306E">
        <w:rPr>
          <w:rFonts w:ascii="Times New Roman" w:hAnsi="Times New Roman" w:cs="Times New Roman"/>
          <w:sz w:val="20"/>
          <w:szCs w:val="20"/>
        </w:rPr>
        <w:lastRenderedPageBreak/>
        <w:t xml:space="preserve">The issue on appeal was </w:t>
      </w:r>
      <w:proofErr w:type="spellStart"/>
      <w:r w:rsidRPr="00BB306E">
        <w:rPr>
          <w:rFonts w:ascii="Times New Roman" w:hAnsi="Times New Roman" w:cs="Times New Roman"/>
          <w:sz w:val="20"/>
          <w:szCs w:val="20"/>
        </w:rPr>
        <w:t>Peekay’s</w:t>
      </w:r>
      <w:proofErr w:type="spellEnd"/>
      <w:r w:rsidRPr="00BB306E">
        <w:rPr>
          <w:rFonts w:ascii="Times New Roman" w:hAnsi="Times New Roman" w:cs="Times New Roman"/>
          <w:sz w:val="20"/>
          <w:szCs w:val="20"/>
        </w:rPr>
        <w:t xml:space="preserve"> allegation </w:t>
      </w:r>
      <w:r w:rsidR="00E16FAA" w:rsidRPr="00BB306E">
        <w:rPr>
          <w:rFonts w:ascii="Times New Roman" w:hAnsi="Times New Roman" w:cs="Times New Roman"/>
          <w:sz w:val="20"/>
          <w:szCs w:val="20"/>
        </w:rPr>
        <w:t xml:space="preserve">that Mrs. B misrepresented the nature of the investment, per </w:t>
      </w:r>
      <w:r w:rsidRPr="00BB306E">
        <w:rPr>
          <w:rFonts w:ascii="Times New Roman" w:hAnsi="Times New Roman" w:cs="Times New Roman"/>
          <w:sz w:val="20"/>
          <w:szCs w:val="20"/>
        </w:rPr>
        <w:t>section 2(1) of</w:t>
      </w:r>
      <w:r w:rsidR="00E16FAA" w:rsidRPr="00BB306E">
        <w:rPr>
          <w:rFonts w:ascii="Times New Roman" w:hAnsi="Times New Roman" w:cs="Times New Roman"/>
          <w:sz w:val="20"/>
          <w:szCs w:val="20"/>
        </w:rPr>
        <w:t xml:space="preserve"> the Misrepresentation Act 1967</w:t>
      </w:r>
      <w:r w:rsidR="003A420B" w:rsidRPr="00BB306E">
        <w:rPr>
          <w:rFonts w:ascii="Times New Roman" w:hAnsi="Times New Roman" w:cs="Times New Roman"/>
          <w:sz w:val="20"/>
          <w:szCs w:val="20"/>
        </w:rPr>
        <w:t>, thereby inducing</w:t>
      </w:r>
      <w:r w:rsidR="002B0CF8" w:rsidRPr="00BB306E">
        <w:rPr>
          <w:rFonts w:ascii="Times New Roman" w:hAnsi="Times New Roman" w:cs="Times New Roman"/>
          <w:sz w:val="20"/>
          <w:szCs w:val="20"/>
        </w:rPr>
        <w:t xml:space="preserve"> him to make the investment</w:t>
      </w:r>
      <w:r w:rsidR="00E16FAA" w:rsidRPr="00BB306E">
        <w:rPr>
          <w:rFonts w:ascii="Times New Roman" w:hAnsi="Times New Roman" w:cs="Times New Roman"/>
          <w:sz w:val="20"/>
          <w:szCs w:val="20"/>
        </w:rPr>
        <w:t>.</w:t>
      </w:r>
      <w:r w:rsidR="002B0CF8" w:rsidRPr="00BB306E">
        <w:rPr>
          <w:rStyle w:val="FootnoteReference"/>
          <w:rFonts w:ascii="Times New Roman" w:hAnsi="Times New Roman" w:cs="Times New Roman"/>
          <w:sz w:val="20"/>
          <w:szCs w:val="20"/>
        </w:rPr>
        <w:footnoteReference w:id="37"/>
      </w:r>
      <w:r w:rsidR="002B0CF8" w:rsidRPr="00BB306E">
        <w:rPr>
          <w:rFonts w:ascii="Times New Roman" w:hAnsi="Times New Roman" w:cs="Times New Roman"/>
          <w:sz w:val="20"/>
          <w:szCs w:val="20"/>
        </w:rPr>
        <w:t xml:space="preserve"> Ruling in favor the defendant, the Court of Appeal reversed the High Court’s judgment.</w:t>
      </w:r>
      <w:r w:rsidR="002B0CF8" w:rsidRPr="00BB306E">
        <w:rPr>
          <w:rStyle w:val="FootnoteReference"/>
          <w:rFonts w:ascii="Times New Roman" w:hAnsi="Times New Roman" w:cs="Times New Roman"/>
          <w:sz w:val="20"/>
          <w:szCs w:val="20"/>
        </w:rPr>
        <w:footnoteReference w:id="38"/>
      </w:r>
      <w:r w:rsidR="00003BDC" w:rsidRPr="00BB306E">
        <w:rPr>
          <w:rFonts w:ascii="Times New Roman" w:hAnsi="Times New Roman" w:cs="Times New Roman"/>
          <w:sz w:val="20"/>
          <w:szCs w:val="20"/>
          <w:u w:val="single"/>
        </w:rPr>
        <w:t xml:space="preserve"> </w:t>
      </w:r>
      <w:r w:rsidR="002B0CF8" w:rsidRPr="00BB306E">
        <w:rPr>
          <w:rFonts w:ascii="Times New Roman" w:hAnsi="Times New Roman" w:cs="Times New Roman"/>
          <w:sz w:val="20"/>
          <w:szCs w:val="20"/>
        </w:rPr>
        <w:t xml:space="preserve">In his judgment, Moore-Bick L.J provided several reasons for the reversal. </w:t>
      </w:r>
      <w:r w:rsidR="001E0ED0" w:rsidRPr="00BB306E">
        <w:rPr>
          <w:rFonts w:ascii="Times New Roman" w:hAnsi="Times New Roman" w:cs="Times New Roman"/>
          <w:sz w:val="20"/>
          <w:szCs w:val="20"/>
        </w:rPr>
        <w:t>While</w:t>
      </w:r>
      <w:r w:rsidR="002B0CF8" w:rsidRPr="00BB306E">
        <w:rPr>
          <w:rFonts w:ascii="Times New Roman" w:hAnsi="Times New Roman" w:cs="Times New Roman"/>
          <w:sz w:val="20"/>
          <w:szCs w:val="20"/>
        </w:rPr>
        <w:t xml:space="preserve"> </w:t>
      </w:r>
      <w:r w:rsidR="001E0ED0" w:rsidRPr="00BB306E">
        <w:rPr>
          <w:rFonts w:ascii="Times New Roman" w:hAnsi="Times New Roman" w:cs="Times New Roman"/>
          <w:sz w:val="20"/>
          <w:szCs w:val="20"/>
        </w:rPr>
        <w:t xml:space="preserve">he agreed that Mrs. B </w:t>
      </w:r>
      <w:r w:rsidR="005152ED" w:rsidRPr="00BB306E">
        <w:rPr>
          <w:rFonts w:ascii="Times New Roman" w:hAnsi="Times New Roman" w:cs="Times New Roman"/>
          <w:sz w:val="20"/>
          <w:szCs w:val="20"/>
        </w:rPr>
        <w:t>may have made</w:t>
      </w:r>
      <w:r w:rsidR="001E0ED0" w:rsidRPr="00BB306E">
        <w:rPr>
          <w:rFonts w:ascii="Times New Roman" w:hAnsi="Times New Roman" w:cs="Times New Roman"/>
          <w:sz w:val="20"/>
          <w:szCs w:val="20"/>
        </w:rPr>
        <w:t xml:space="preserve"> an implicit representation that </w:t>
      </w:r>
      <w:r w:rsidR="00EE5291" w:rsidRPr="00BB306E">
        <w:rPr>
          <w:rFonts w:ascii="Times New Roman" w:hAnsi="Times New Roman" w:cs="Times New Roman"/>
          <w:sz w:val="20"/>
          <w:szCs w:val="20"/>
        </w:rPr>
        <w:t xml:space="preserve">the investment would give Mr. P a proprietary interest in the GKO, he found the terms of the FTC sufficiently made clear that the investment was fundamentally different from what he understood from </w:t>
      </w:r>
      <w:r w:rsidR="003A420B" w:rsidRPr="00BB306E">
        <w:rPr>
          <w:rFonts w:ascii="Times New Roman" w:hAnsi="Times New Roman" w:cs="Times New Roman"/>
          <w:sz w:val="20"/>
          <w:szCs w:val="20"/>
        </w:rPr>
        <w:t>the</w:t>
      </w:r>
      <w:r w:rsidR="00EE5291" w:rsidRPr="00BB306E">
        <w:rPr>
          <w:rFonts w:ascii="Times New Roman" w:hAnsi="Times New Roman" w:cs="Times New Roman"/>
          <w:sz w:val="20"/>
          <w:szCs w:val="20"/>
        </w:rPr>
        <w:t xml:space="preserve"> conversations with Mrs. B.</w:t>
      </w:r>
      <w:r w:rsidR="00EE5291" w:rsidRPr="00BB306E">
        <w:rPr>
          <w:rStyle w:val="FootnoteReference"/>
          <w:rFonts w:ascii="Times New Roman" w:hAnsi="Times New Roman" w:cs="Times New Roman"/>
          <w:sz w:val="20"/>
          <w:szCs w:val="20"/>
        </w:rPr>
        <w:footnoteReference w:id="39"/>
      </w:r>
    </w:p>
    <w:p w14:paraId="0C0B4AB4" w14:textId="77777777" w:rsidR="00083B76" w:rsidRPr="00BB306E" w:rsidRDefault="005A25C2"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Secondly, </w:t>
      </w:r>
      <w:r w:rsidR="005152ED" w:rsidRPr="00BB306E">
        <w:rPr>
          <w:rFonts w:ascii="Times New Roman" w:hAnsi="Times New Roman" w:cs="Times New Roman"/>
          <w:sz w:val="20"/>
          <w:szCs w:val="20"/>
        </w:rPr>
        <w:t>the judge found that it was not reasonable for Mr. P to assume that any discrepancies between Mrs. B’s description and the terms of the FTC would be pointed out to him by Mrs. B when Mr. P was</w:t>
      </w:r>
      <w:r w:rsidR="00C96599" w:rsidRPr="00BB306E">
        <w:rPr>
          <w:rFonts w:ascii="Times New Roman" w:hAnsi="Times New Roman" w:cs="Times New Roman"/>
          <w:sz w:val="20"/>
          <w:szCs w:val="20"/>
        </w:rPr>
        <w:t xml:space="preserve"> an experienced investor and was</w:t>
      </w:r>
      <w:r w:rsidR="005152ED" w:rsidRPr="00BB306E">
        <w:rPr>
          <w:rFonts w:ascii="Times New Roman" w:hAnsi="Times New Roman" w:cs="Times New Roman"/>
          <w:sz w:val="20"/>
          <w:szCs w:val="20"/>
        </w:rPr>
        <w:t xml:space="preserve"> aware the FTCs contained</w:t>
      </w:r>
      <w:r w:rsidR="00C96599" w:rsidRPr="00BB306E">
        <w:rPr>
          <w:rFonts w:ascii="Times New Roman" w:hAnsi="Times New Roman" w:cs="Times New Roman"/>
          <w:sz w:val="20"/>
          <w:szCs w:val="20"/>
        </w:rPr>
        <w:t xml:space="preserve"> the only formal description of the investment he would receive.</w:t>
      </w:r>
      <w:r w:rsidR="005152ED" w:rsidRPr="00BB306E">
        <w:rPr>
          <w:rStyle w:val="FootnoteReference"/>
          <w:rFonts w:ascii="Times New Roman" w:hAnsi="Times New Roman" w:cs="Times New Roman"/>
          <w:sz w:val="20"/>
          <w:szCs w:val="20"/>
        </w:rPr>
        <w:footnoteReference w:id="40"/>
      </w:r>
      <w:r w:rsidR="005152ED" w:rsidRPr="00BB306E">
        <w:rPr>
          <w:rFonts w:ascii="Times New Roman" w:hAnsi="Times New Roman" w:cs="Times New Roman"/>
          <w:sz w:val="20"/>
          <w:szCs w:val="20"/>
        </w:rPr>
        <w:t xml:space="preserve"> </w:t>
      </w:r>
      <w:r w:rsidRPr="00BB306E">
        <w:rPr>
          <w:rFonts w:ascii="Times New Roman" w:hAnsi="Times New Roman" w:cs="Times New Roman"/>
          <w:sz w:val="20"/>
          <w:szCs w:val="20"/>
        </w:rPr>
        <w:t>Thirdly</w:t>
      </w:r>
      <w:r w:rsidR="002B0CF8" w:rsidRPr="00BB306E">
        <w:rPr>
          <w:rFonts w:ascii="Times New Roman" w:hAnsi="Times New Roman" w:cs="Times New Roman"/>
          <w:sz w:val="20"/>
          <w:szCs w:val="20"/>
        </w:rPr>
        <w:t xml:space="preserve">, </w:t>
      </w:r>
      <w:r w:rsidRPr="00BB306E">
        <w:rPr>
          <w:rFonts w:ascii="Times New Roman" w:hAnsi="Times New Roman" w:cs="Times New Roman"/>
          <w:sz w:val="20"/>
          <w:szCs w:val="20"/>
        </w:rPr>
        <w:t>the court reasoned that when Mr. P sent</w:t>
      </w:r>
      <w:r w:rsidR="00182831" w:rsidRPr="00BB306E">
        <w:rPr>
          <w:rFonts w:ascii="Times New Roman" w:hAnsi="Times New Roman" w:cs="Times New Roman"/>
          <w:sz w:val="20"/>
          <w:szCs w:val="20"/>
        </w:rPr>
        <w:t xml:space="preserve"> the instructions for the order, which </w:t>
      </w:r>
      <w:r w:rsidRPr="00BB306E">
        <w:rPr>
          <w:rFonts w:ascii="Times New Roman" w:hAnsi="Times New Roman" w:cs="Times New Roman"/>
          <w:sz w:val="20"/>
          <w:szCs w:val="20"/>
        </w:rPr>
        <w:t xml:space="preserve">incorporated </w:t>
      </w:r>
      <w:r w:rsidR="00182831" w:rsidRPr="00BB306E">
        <w:rPr>
          <w:rFonts w:ascii="Times New Roman" w:hAnsi="Times New Roman" w:cs="Times New Roman"/>
          <w:sz w:val="20"/>
          <w:szCs w:val="20"/>
        </w:rPr>
        <w:t xml:space="preserve">by reference </w:t>
      </w:r>
      <w:r w:rsidRPr="00BB306E">
        <w:rPr>
          <w:rFonts w:ascii="Times New Roman" w:hAnsi="Times New Roman" w:cs="Times New Roman"/>
          <w:sz w:val="20"/>
          <w:szCs w:val="20"/>
        </w:rPr>
        <w:t xml:space="preserve">the FTCs </w:t>
      </w:r>
      <w:r w:rsidR="00182831" w:rsidRPr="00BB306E">
        <w:rPr>
          <w:rFonts w:ascii="Times New Roman" w:hAnsi="Times New Roman" w:cs="Times New Roman"/>
          <w:sz w:val="20"/>
          <w:szCs w:val="20"/>
        </w:rPr>
        <w:t>he signed</w:t>
      </w:r>
      <w:r w:rsidRPr="00BB306E">
        <w:rPr>
          <w:rFonts w:ascii="Times New Roman" w:hAnsi="Times New Roman" w:cs="Times New Roman"/>
          <w:sz w:val="20"/>
          <w:szCs w:val="20"/>
        </w:rPr>
        <w:t xml:space="preserve">, he made an offer to enter a contract with ANZ on those terms; thus, it was part of the contract </w:t>
      </w:r>
      <w:r w:rsidR="00182831" w:rsidRPr="00BB306E">
        <w:rPr>
          <w:rFonts w:ascii="Times New Roman" w:hAnsi="Times New Roman" w:cs="Times New Roman"/>
          <w:sz w:val="20"/>
          <w:szCs w:val="20"/>
        </w:rPr>
        <w:t xml:space="preserve">for investment </w:t>
      </w:r>
      <w:r w:rsidRPr="00BB306E">
        <w:rPr>
          <w:rFonts w:ascii="Times New Roman" w:hAnsi="Times New Roman" w:cs="Times New Roman"/>
          <w:sz w:val="20"/>
          <w:szCs w:val="20"/>
        </w:rPr>
        <w:t>that Mr. P was aware of the nature of the investment.</w:t>
      </w:r>
      <w:r w:rsidRPr="00BB306E">
        <w:rPr>
          <w:rStyle w:val="FootnoteReference"/>
          <w:rFonts w:ascii="Times New Roman" w:hAnsi="Times New Roman" w:cs="Times New Roman"/>
          <w:sz w:val="20"/>
          <w:szCs w:val="20"/>
        </w:rPr>
        <w:footnoteReference w:id="41"/>
      </w:r>
      <w:r w:rsidRPr="00BB306E">
        <w:rPr>
          <w:rFonts w:ascii="Times New Roman" w:hAnsi="Times New Roman" w:cs="Times New Roman"/>
          <w:sz w:val="20"/>
          <w:szCs w:val="20"/>
        </w:rPr>
        <w:t xml:space="preserve"> </w:t>
      </w:r>
    </w:p>
    <w:p w14:paraId="00D9D0BB" w14:textId="5DCC7EBD" w:rsidR="005152ED" w:rsidRPr="00BB306E" w:rsidRDefault="00714887" w:rsidP="00BB306E">
      <w:pPr>
        <w:ind w:firstLine="2160"/>
        <w:rPr>
          <w:rFonts w:ascii="Times New Roman" w:hAnsi="Times New Roman" w:cs="Times New Roman"/>
          <w:sz w:val="20"/>
          <w:szCs w:val="20"/>
        </w:rPr>
      </w:pPr>
      <w:r w:rsidRPr="00BB306E">
        <w:rPr>
          <w:rFonts w:ascii="Times New Roman" w:hAnsi="Times New Roman" w:cs="Times New Roman"/>
          <w:sz w:val="20"/>
          <w:szCs w:val="20"/>
        </w:rPr>
        <w:t>Effectively</w:t>
      </w:r>
      <w:r w:rsidR="005152ED" w:rsidRPr="00BB306E">
        <w:rPr>
          <w:rFonts w:ascii="Times New Roman" w:hAnsi="Times New Roman" w:cs="Times New Roman"/>
          <w:sz w:val="20"/>
          <w:szCs w:val="20"/>
        </w:rPr>
        <w:t xml:space="preserve">, the judge found that Mr. P was induced to sign the documents and enter the contract by </w:t>
      </w:r>
      <w:r w:rsidR="005152ED" w:rsidRPr="00BB306E">
        <w:rPr>
          <w:rFonts w:ascii="Times New Roman" w:hAnsi="Times New Roman" w:cs="Times New Roman"/>
          <w:i/>
          <w:sz w:val="20"/>
          <w:szCs w:val="20"/>
        </w:rPr>
        <w:t>his own</w:t>
      </w:r>
      <w:r w:rsidR="005152ED" w:rsidRPr="00BB306E">
        <w:rPr>
          <w:rFonts w:ascii="Times New Roman" w:hAnsi="Times New Roman" w:cs="Times New Roman"/>
          <w:sz w:val="20"/>
          <w:szCs w:val="20"/>
        </w:rPr>
        <w:t xml:space="preserve"> assumption that the investment product would correspond to Mrs. B’s description</w:t>
      </w:r>
      <w:r w:rsidR="004E6A56" w:rsidRPr="00BB306E">
        <w:rPr>
          <w:rFonts w:ascii="Times New Roman" w:hAnsi="Times New Roman" w:cs="Times New Roman"/>
          <w:sz w:val="20"/>
          <w:szCs w:val="20"/>
        </w:rPr>
        <w:t>.</w:t>
      </w:r>
      <w:r w:rsidR="004E6A56" w:rsidRPr="00BB306E">
        <w:rPr>
          <w:rStyle w:val="FootnoteReference"/>
          <w:rFonts w:ascii="Times New Roman" w:hAnsi="Times New Roman" w:cs="Times New Roman"/>
          <w:sz w:val="20"/>
          <w:szCs w:val="20"/>
        </w:rPr>
        <w:footnoteReference w:id="42"/>
      </w:r>
      <w:r w:rsidR="004E6A56" w:rsidRPr="00BB306E">
        <w:rPr>
          <w:rFonts w:ascii="Times New Roman" w:hAnsi="Times New Roman" w:cs="Times New Roman"/>
          <w:sz w:val="20"/>
          <w:szCs w:val="20"/>
        </w:rPr>
        <w:t xml:space="preserve"> I</w:t>
      </w:r>
      <w:r w:rsidR="005152ED" w:rsidRPr="00BB306E">
        <w:rPr>
          <w:rFonts w:ascii="Times New Roman" w:hAnsi="Times New Roman" w:cs="Times New Roman"/>
          <w:sz w:val="20"/>
          <w:szCs w:val="20"/>
        </w:rPr>
        <w:t>t was no defense that he did not read the FTCs carefully.</w:t>
      </w:r>
      <w:r w:rsidR="004E6A56" w:rsidRPr="00BB306E">
        <w:rPr>
          <w:rStyle w:val="FootnoteReference"/>
          <w:rFonts w:ascii="Times New Roman" w:hAnsi="Times New Roman" w:cs="Times New Roman"/>
          <w:sz w:val="20"/>
          <w:szCs w:val="20"/>
        </w:rPr>
        <w:footnoteReference w:id="43"/>
      </w:r>
      <w:r w:rsidR="005152ED" w:rsidRPr="00BB306E">
        <w:rPr>
          <w:rFonts w:ascii="Times New Roman" w:hAnsi="Times New Roman" w:cs="Times New Roman"/>
          <w:sz w:val="20"/>
          <w:szCs w:val="20"/>
        </w:rPr>
        <w:t xml:space="preserve"> </w:t>
      </w:r>
      <w:r w:rsidR="00E0085F" w:rsidRPr="00BB306E">
        <w:rPr>
          <w:rFonts w:ascii="Times New Roman" w:hAnsi="Times New Roman" w:cs="Times New Roman"/>
          <w:sz w:val="20"/>
          <w:szCs w:val="20"/>
        </w:rPr>
        <w:t xml:space="preserve">The court allowed, but did not decide on, the defendant’s contractual estoppel argument that because </w:t>
      </w:r>
      <w:proofErr w:type="spellStart"/>
      <w:r w:rsidR="00E0085F" w:rsidRPr="00BB306E">
        <w:rPr>
          <w:rFonts w:ascii="Times New Roman" w:hAnsi="Times New Roman" w:cs="Times New Roman"/>
          <w:sz w:val="20"/>
          <w:szCs w:val="20"/>
        </w:rPr>
        <w:t>Peekay</w:t>
      </w:r>
      <w:proofErr w:type="spellEnd"/>
      <w:r w:rsidR="00E0085F" w:rsidRPr="00BB306E">
        <w:rPr>
          <w:rFonts w:ascii="Times New Roman" w:hAnsi="Times New Roman" w:cs="Times New Roman"/>
          <w:sz w:val="20"/>
          <w:szCs w:val="20"/>
        </w:rPr>
        <w:t xml:space="preserve"> signed the FTCs which stating that he understood them as well as the risky nature of GKO investments, he was estopped from claiming misrepresentation.</w:t>
      </w:r>
      <w:r w:rsidR="00E0085F" w:rsidRPr="00BB306E">
        <w:rPr>
          <w:rStyle w:val="FootnoteReference"/>
          <w:rFonts w:ascii="Times New Roman" w:hAnsi="Times New Roman" w:cs="Times New Roman"/>
          <w:sz w:val="20"/>
          <w:szCs w:val="20"/>
        </w:rPr>
        <w:footnoteReference w:id="44"/>
      </w:r>
      <w:r w:rsidR="00E0085F" w:rsidRPr="00BB306E">
        <w:rPr>
          <w:rFonts w:ascii="Times New Roman" w:hAnsi="Times New Roman" w:cs="Times New Roman"/>
          <w:sz w:val="20"/>
          <w:szCs w:val="20"/>
        </w:rPr>
        <w:t xml:space="preserve"> </w:t>
      </w:r>
    </w:p>
    <w:p w14:paraId="6816543A" w14:textId="77777777" w:rsidR="009C25D3" w:rsidRPr="00BB306E" w:rsidRDefault="009C25D3" w:rsidP="00BB306E">
      <w:pPr>
        <w:ind w:firstLine="2160"/>
        <w:rPr>
          <w:rFonts w:ascii="Times New Roman" w:hAnsi="Times New Roman" w:cs="Times New Roman"/>
          <w:sz w:val="20"/>
          <w:szCs w:val="20"/>
        </w:rPr>
      </w:pPr>
    </w:p>
    <w:p w14:paraId="0D14CBEA" w14:textId="77777777" w:rsidR="00003BDC" w:rsidRPr="00BB306E" w:rsidRDefault="00003BDC" w:rsidP="00BB306E">
      <w:pPr>
        <w:pStyle w:val="ListParagraph"/>
        <w:numPr>
          <w:ilvl w:val="2"/>
          <w:numId w:val="4"/>
        </w:numPr>
        <w:rPr>
          <w:rFonts w:ascii="Times New Roman" w:hAnsi="Times New Roman" w:cs="Times New Roman"/>
          <w:sz w:val="20"/>
          <w:szCs w:val="20"/>
        </w:rPr>
      </w:pPr>
      <w:r w:rsidRPr="00BB306E">
        <w:rPr>
          <w:rFonts w:ascii="Times New Roman" w:hAnsi="Times New Roman" w:cs="Times New Roman"/>
          <w:sz w:val="20"/>
          <w:szCs w:val="20"/>
          <w:u w:val="single"/>
        </w:rPr>
        <w:t>General implications for arranging bank liability with respect to disclaimers</w:t>
      </w:r>
    </w:p>
    <w:p w14:paraId="3BAA2982" w14:textId="77777777" w:rsidR="009C25D3" w:rsidRPr="00BB306E" w:rsidRDefault="009C25D3" w:rsidP="00BB306E">
      <w:pPr>
        <w:pStyle w:val="ListParagraph"/>
        <w:ind w:left="2160"/>
        <w:rPr>
          <w:rFonts w:ascii="Times New Roman" w:hAnsi="Times New Roman" w:cs="Times New Roman"/>
          <w:sz w:val="20"/>
          <w:szCs w:val="20"/>
        </w:rPr>
      </w:pPr>
    </w:p>
    <w:p w14:paraId="3CE15C02" w14:textId="4C33C2FA" w:rsidR="00003BDC" w:rsidRPr="00BB306E" w:rsidRDefault="00AE01B6" w:rsidP="00BB306E">
      <w:pPr>
        <w:ind w:firstLine="2160"/>
        <w:rPr>
          <w:rFonts w:ascii="Times New Roman" w:hAnsi="Times New Roman" w:cs="Times New Roman"/>
          <w:sz w:val="20"/>
          <w:szCs w:val="20"/>
        </w:rPr>
      </w:pPr>
      <w:r w:rsidRPr="00BB306E">
        <w:rPr>
          <w:rFonts w:ascii="Times New Roman" w:hAnsi="Times New Roman" w:cs="Times New Roman"/>
          <w:sz w:val="20"/>
          <w:szCs w:val="20"/>
        </w:rPr>
        <w:t>Similarly</w:t>
      </w:r>
      <w:r w:rsidR="002836BD" w:rsidRPr="00BB306E">
        <w:rPr>
          <w:rFonts w:ascii="Times New Roman" w:hAnsi="Times New Roman" w:cs="Times New Roman"/>
          <w:sz w:val="20"/>
          <w:szCs w:val="20"/>
        </w:rPr>
        <w:t xml:space="preserve"> to</w:t>
      </w:r>
      <w:r w:rsidRPr="00BB306E">
        <w:rPr>
          <w:rFonts w:ascii="Times New Roman" w:hAnsi="Times New Roman" w:cs="Times New Roman"/>
          <w:sz w:val="20"/>
          <w:szCs w:val="20"/>
        </w:rPr>
        <w:t xml:space="preserve"> </w:t>
      </w:r>
      <w:r w:rsidRPr="00BB306E">
        <w:rPr>
          <w:rFonts w:ascii="Times New Roman" w:hAnsi="Times New Roman" w:cs="Times New Roman"/>
          <w:i/>
          <w:sz w:val="20"/>
          <w:szCs w:val="20"/>
        </w:rPr>
        <w:t>IFE Funds</w:t>
      </w:r>
      <w:r w:rsidRPr="00BB306E">
        <w:rPr>
          <w:rFonts w:ascii="Times New Roman" w:hAnsi="Times New Roman" w:cs="Times New Roman"/>
          <w:sz w:val="20"/>
          <w:szCs w:val="20"/>
        </w:rPr>
        <w:t xml:space="preserve">, the Court of Appeal in </w:t>
      </w:r>
      <w:proofErr w:type="spellStart"/>
      <w:r w:rsidRPr="00BB306E">
        <w:rPr>
          <w:rFonts w:ascii="Times New Roman" w:hAnsi="Times New Roman" w:cs="Times New Roman"/>
          <w:i/>
          <w:sz w:val="20"/>
          <w:szCs w:val="20"/>
        </w:rPr>
        <w:t>Peekay</w:t>
      </w:r>
      <w:proofErr w:type="spellEnd"/>
      <w:r w:rsidRPr="00BB306E">
        <w:rPr>
          <w:rFonts w:ascii="Times New Roman" w:hAnsi="Times New Roman" w:cs="Times New Roman"/>
          <w:i/>
          <w:sz w:val="20"/>
          <w:szCs w:val="20"/>
        </w:rPr>
        <w:t xml:space="preserve"> </w:t>
      </w:r>
      <w:r w:rsidRPr="00BB306E">
        <w:rPr>
          <w:rFonts w:ascii="Times New Roman" w:hAnsi="Times New Roman" w:cs="Times New Roman"/>
          <w:sz w:val="20"/>
          <w:szCs w:val="20"/>
        </w:rPr>
        <w:t>upheld the disclaimer and did not impose further liabilities on the defendant</w:t>
      </w:r>
      <w:r w:rsidR="007A576E" w:rsidRPr="00BB306E">
        <w:rPr>
          <w:rFonts w:ascii="Times New Roman" w:hAnsi="Times New Roman" w:cs="Times New Roman"/>
          <w:sz w:val="20"/>
          <w:szCs w:val="20"/>
        </w:rPr>
        <w:t xml:space="preserve">. Just as the court recognized the parties in </w:t>
      </w:r>
      <w:r w:rsidR="007A576E" w:rsidRPr="00BB306E">
        <w:rPr>
          <w:rFonts w:ascii="Times New Roman" w:hAnsi="Times New Roman" w:cs="Times New Roman"/>
          <w:i/>
          <w:sz w:val="20"/>
          <w:szCs w:val="20"/>
        </w:rPr>
        <w:t xml:space="preserve">IFE </w:t>
      </w:r>
      <w:r w:rsidR="007A576E" w:rsidRPr="00BB306E">
        <w:rPr>
          <w:rFonts w:ascii="Times New Roman" w:hAnsi="Times New Roman" w:cs="Times New Roman"/>
          <w:sz w:val="20"/>
          <w:szCs w:val="20"/>
        </w:rPr>
        <w:t xml:space="preserve">were sophisticated in syndicated loan transactions, in </w:t>
      </w:r>
      <w:proofErr w:type="spellStart"/>
      <w:r w:rsidR="007A576E" w:rsidRPr="00BB306E">
        <w:rPr>
          <w:rFonts w:ascii="Times New Roman" w:hAnsi="Times New Roman" w:cs="Times New Roman"/>
          <w:i/>
          <w:sz w:val="20"/>
          <w:szCs w:val="20"/>
        </w:rPr>
        <w:t>Peekay</w:t>
      </w:r>
      <w:proofErr w:type="spellEnd"/>
      <w:r w:rsidR="007A576E" w:rsidRPr="00BB306E">
        <w:rPr>
          <w:rFonts w:ascii="Times New Roman" w:hAnsi="Times New Roman" w:cs="Times New Roman"/>
          <w:sz w:val="20"/>
          <w:szCs w:val="20"/>
        </w:rPr>
        <w:t>, a key to the court’s decision was that the claimant was considered an expert, and this was made clear to him. Thus, this</w:t>
      </w:r>
      <w:r w:rsidR="00D56DE8" w:rsidRPr="00BB306E">
        <w:rPr>
          <w:rFonts w:ascii="Times New Roman" w:hAnsi="Times New Roman" w:cs="Times New Roman"/>
          <w:sz w:val="20"/>
          <w:szCs w:val="20"/>
        </w:rPr>
        <w:t xml:space="preserve"> likely</w:t>
      </w:r>
      <w:r w:rsidR="007A576E" w:rsidRPr="00BB306E">
        <w:rPr>
          <w:rFonts w:ascii="Times New Roman" w:hAnsi="Times New Roman" w:cs="Times New Roman"/>
          <w:sz w:val="20"/>
          <w:szCs w:val="20"/>
        </w:rPr>
        <w:t xml:space="preserve"> </w:t>
      </w:r>
      <w:r w:rsidR="00D56DE8" w:rsidRPr="00BB306E">
        <w:rPr>
          <w:rFonts w:ascii="Times New Roman" w:hAnsi="Times New Roman" w:cs="Times New Roman"/>
          <w:sz w:val="20"/>
          <w:szCs w:val="20"/>
        </w:rPr>
        <w:t>extends</w:t>
      </w:r>
      <w:r w:rsidR="007A576E" w:rsidRPr="00BB306E">
        <w:rPr>
          <w:rFonts w:ascii="Times New Roman" w:hAnsi="Times New Roman" w:cs="Times New Roman"/>
          <w:sz w:val="20"/>
          <w:szCs w:val="20"/>
        </w:rPr>
        <w:t xml:space="preserve"> the point </w:t>
      </w:r>
      <w:r w:rsidR="00B569B7" w:rsidRPr="00BB306E">
        <w:rPr>
          <w:rFonts w:ascii="Times New Roman" w:hAnsi="Times New Roman" w:cs="Times New Roman"/>
          <w:sz w:val="20"/>
          <w:szCs w:val="20"/>
        </w:rPr>
        <w:t>noted</w:t>
      </w:r>
      <w:r w:rsidR="00D56DE8" w:rsidRPr="00BB306E">
        <w:rPr>
          <w:rFonts w:ascii="Times New Roman" w:hAnsi="Times New Roman" w:cs="Times New Roman"/>
          <w:sz w:val="20"/>
          <w:szCs w:val="20"/>
        </w:rPr>
        <w:t xml:space="preserve"> above: </w:t>
      </w:r>
      <w:r w:rsidR="007A576E" w:rsidRPr="00BB306E">
        <w:rPr>
          <w:rFonts w:ascii="Times New Roman" w:hAnsi="Times New Roman" w:cs="Times New Roman"/>
          <w:sz w:val="20"/>
          <w:szCs w:val="20"/>
        </w:rPr>
        <w:t>where the parties</w:t>
      </w:r>
      <w:r w:rsidR="00D56DE8" w:rsidRPr="00BB306E">
        <w:rPr>
          <w:rFonts w:ascii="Times New Roman" w:hAnsi="Times New Roman" w:cs="Times New Roman"/>
          <w:sz w:val="20"/>
          <w:szCs w:val="20"/>
        </w:rPr>
        <w:t xml:space="preserve"> in a financial transaction</w:t>
      </w:r>
      <w:r w:rsidR="007A576E" w:rsidRPr="00BB306E">
        <w:rPr>
          <w:rFonts w:ascii="Times New Roman" w:hAnsi="Times New Roman" w:cs="Times New Roman"/>
          <w:sz w:val="20"/>
          <w:szCs w:val="20"/>
        </w:rPr>
        <w:t xml:space="preserve"> are experienced, the disclaimer is more likely to stand, whether in</w:t>
      </w:r>
      <w:r w:rsidR="00D56DE8" w:rsidRPr="00BB306E">
        <w:rPr>
          <w:rFonts w:ascii="Times New Roman" w:hAnsi="Times New Roman" w:cs="Times New Roman"/>
          <w:sz w:val="20"/>
          <w:szCs w:val="20"/>
        </w:rPr>
        <w:t xml:space="preserve"> the context of</w:t>
      </w:r>
      <w:r w:rsidR="007A576E" w:rsidRPr="00BB306E">
        <w:rPr>
          <w:rFonts w:ascii="Times New Roman" w:hAnsi="Times New Roman" w:cs="Times New Roman"/>
          <w:sz w:val="20"/>
          <w:szCs w:val="20"/>
        </w:rPr>
        <w:t xml:space="preserve"> a syndicated loan or </w:t>
      </w:r>
      <w:r w:rsidR="00D56DE8" w:rsidRPr="00BB306E">
        <w:rPr>
          <w:rFonts w:ascii="Times New Roman" w:hAnsi="Times New Roman" w:cs="Times New Roman"/>
          <w:sz w:val="20"/>
          <w:szCs w:val="20"/>
        </w:rPr>
        <w:t>private investment account</w:t>
      </w:r>
      <w:r w:rsidR="007A576E" w:rsidRPr="00BB306E">
        <w:rPr>
          <w:rFonts w:ascii="Times New Roman" w:hAnsi="Times New Roman" w:cs="Times New Roman"/>
          <w:sz w:val="20"/>
          <w:szCs w:val="20"/>
        </w:rPr>
        <w:t>.</w:t>
      </w:r>
    </w:p>
    <w:p w14:paraId="4D0158C1" w14:textId="2C93835B" w:rsidR="00DB443E" w:rsidRPr="00BB306E" w:rsidRDefault="008714F1" w:rsidP="00BB306E">
      <w:pPr>
        <w:ind w:firstLine="2160"/>
        <w:rPr>
          <w:rFonts w:ascii="Times New Roman" w:hAnsi="Times New Roman" w:cs="Times New Roman"/>
          <w:sz w:val="20"/>
          <w:szCs w:val="20"/>
        </w:rPr>
      </w:pPr>
      <w:r w:rsidRPr="00BB306E">
        <w:rPr>
          <w:rFonts w:ascii="Times New Roman" w:hAnsi="Times New Roman" w:cs="Times New Roman"/>
          <w:sz w:val="20"/>
          <w:szCs w:val="20"/>
        </w:rPr>
        <w:t>Furthermore, an</w:t>
      </w:r>
      <w:r w:rsidR="00C132FB" w:rsidRPr="00BB306E">
        <w:rPr>
          <w:rFonts w:ascii="Times New Roman" w:hAnsi="Times New Roman" w:cs="Times New Roman"/>
          <w:sz w:val="20"/>
          <w:szCs w:val="20"/>
        </w:rPr>
        <w:t xml:space="preserve"> additional parallel between the cases is that </w:t>
      </w:r>
      <w:r w:rsidR="00AE01B6" w:rsidRPr="00BB306E">
        <w:rPr>
          <w:rFonts w:ascii="Times New Roman" w:hAnsi="Times New Roman" w:cs="Times New Roman"/>
          <w:sz w:val="20"/>
          <w:szCs w:val="20"/>
        </w:rPr>
        <w:t xml:space="preserve">when a sophisticated </w:t>
      </w:r>
      <w:r w:rsidR="00C132FB" w:rsidRPr="00BB306E">
        <w:rPr>
          <w:rFonts w:ascii="Times New Roman" w:hAnsi="Times New Roman" w:cs="Times New Roman"/>
          <w:sz w:val="20"/>
          <w:szCs w:val="20"/>
        </w:rPr>
        <w:t>investor relies</w:t>
      </w:r>
      <w:r w:rsidR="00AE01B6" w:rsidRPr="00BB306E">
        <w:rPr>
          <w:rFonts w:ascii="Times New Roman" w:hAnsi="Times New Roman" w:cs="Times New Roman"/>
          <w:sz w:val="20"/>
          <w:szCs w:val="20"/>
        </w:rPr>
        <w:t xml:space="preserve"> on his own assumptions o</w:t>
      </w:r>
      <w:r w:rsidR="00C132FB" w:rsidRPr="00BB306E">
        <w:rPr>
          <w:rFonts w:ascii="Times New Roman" w:hAnsi="Times New Roman" w:cs="Times New Roman"/>
          <w:sz w:val="20"/>
          <w:szCs w:val="20"/>
        </w:rPr>
        <w:t>f what the bank will take responsibility for,</w:t>
      </w:r>
      <w:r w:rsidR="00AE01B6" w:rsidRPr="00BB306E">
        <w:rPr>
          <w:rFonts w:ascii="Times New Roman" w:hAnsi="Times New Roman" w:cs="Times New Roman"/>
          <w:sz w:val="20"/>
          <w:szCs w:val="20"/>
        </w:rPr>
        <w:t xml:space="preserve"> </w:t>
      </w:r>
      <w:r w:rsidR="00C132FB" w:rsidRPr="00BB306E">
        <w:rPr>
          <w:rFonts w:ascii="Times New Roman" w:hAnsi="Times New Roman" w:cs="Times New Roman"/>
          <w:sz w:val="20"/>
          <w:szCs w:val="20"/>
        </w:rPr>
        <w:t>the court will not spare investors the cost of that mistake when the bank makes clear that it disclaims those responsibilities.</w:t>
      </w:r>
      <w:r w:rsidR="00C132FB" w:rsidRPr="00BB306E">
        <w:rPr>
          <w:rStyle w:val="FootnoteReference"/>
          <w:rFonts w:ascii="Times New Roman" w:hAnsi="Times New Roman" w:cs="Times New Roman"/>
          <w:sz w:val="20"/>
          <w:szCs w:val="20"/>
        </w:rPr>
        <w:footnoteReference w:id="45"/>
      </w:r>
      <w:r w:rsidR="00C132FB" w:rsidRPr="00BB306E">
        <w:rPr>
          <w:rFonts w:ascii="Times New Roman" w:hAnsi="Times New Roman" w:cs="Times New Roman"/>
          <w:sz w:val="20"/>
          <w:szCs w:val="20"/>
        </w:rPr>
        <w:t xml:space="preserve">  </w:t>
      </w:r>
    </w:p>
    <w:p w14:paraId="1074433A" w14:textId="77777777" w:rsidR="007A576E" w:rsidRPr="00BB306E" w:rsidRDefault="007A576E" w:rsidP="00BB306E">
      <w:pPr>
        <w:rPr>
          <w:rFonts w:ascii="Times New Roman" w:hAnsi="Times New Roman" w:cs="Times New Roman"/>
          <w:sz w:val="20"/>
          <w:szCs w:val="20"/>
        </w:rPr>
      </w:pPr>
    </w:p>
    <w:p w14:paraId="2B9F6BA2" w14:textId="2811888C" w:rsidR="008E55DB" w:rsidRPr="00BB306E" w:rsidRDefault="008E55DB" w:rsidP="00BB306E">
      <w:pPr>
        <w:pStyle w:val="ListParagraph"/>
        <w:numPr>
          <w:ilvl w:val="1"/>
          <w:numId w:val="4"/>
        </w:numPr>
        <w:rPr>
          <w:rFonts w:ascii="Times New Roman" w:hAnsi="Times New Roman" w:cs="Times New Roman"/>
          <w:sz w:val="20"/>
          <w:szCs w:val="20"/>
          <w:u w:val="single"/>
        </w:rPr>
      </w:pPr>
      <w:r w:rsidRPr="00B467C3">
        <w:rPr>
          <w:rFonts w:ascii="Times New Roman" w:eastAsia="Times New Roman" w:hAnsi="Times New Roman" w:cs="Times New Roman"/>
          <w:i/>
          <w:iCs/>
          <w:color w:val="FF0000"/>
          <w:sz w:val="20"/>
          <w:szCs w:val="20"/>
          <w:u w:val="single"/>
        </w:rPr>
        <w:t>Abu Dhabi Commercial Bank v. Morgan Stanley &amp; Co.</w:t>
      </w:r>
      <w:r w:rsidRPr="00B467C3">
        <w:rPr>
          <w:rFonts w:ascii="Times New Roman" w:eastAsia="Times New Roman" w:hAnsi="Times New Roman" w:cs="Times New Roman"/>
          <w:color w:val="FF0000"/>
          <w:sz w:val="20"/>
          <w:szCs w:val="20"/>
          <w:u w:val="single"/>
        </w:rPr>
        <w:t>, 651 F.Supp.2d 155, 170 (S.D.N.Y. 2009)</w:t>
      </w:r>
    </w:p>
    <w:p w14:paraId="0A30A7A7" w14:textId="77777777" w:rsidR="008E55DB" w:rsidRPr="00BB306E" w:rsidRDefault="008E55DB" w:rsidP="00BB306E">
      <w:pPr>
        <w:rPr>
          <w:rFonts w:ascii="Times New Roman" w:hAnsi="Times New Roman" w:cs="Times New Roman"/>
          <w:sz w:val="20"/>
          <w:szCs w:val="20"/>
        </w:rPr>
      </w:pPr>
    </w:p>
    <w:p w14:paraId="75BC86A2" w14:textId="0D020314" w:rsidR="004053F7" w:rsidRPr="00BB306E" w:rsidRDefault="004053F7" w:rsidP="00BB306E">
      <w:pPr>
        <w:ind w:firstLine="1440"/>
        <w:rPr>
          <w:rFonts w:ascii="Times New Roman" w:hAnsi="Times New Roman" w:cs="Times New Roman"/>
          <w:sz w:val="20"/>
          <w:szCs w:val="20"/>
        </w:rPr>
      </w:pPr>
      <w:r w:rsidRPr="00BB306E">
        <w:rPr>
          <w:rFonts w:ascii="Times New Roman" w:hAnsi="Times New Roman" w:cs="Times New Roman"/>
          <w:sz w:val="20"/>
          <w:szCs w:val="20"/>
        </w:rPr>
        <w:t xml:space="preserve">A U.S. case emerging from the fallout of the 2008 financial crisis </w:t>
      </w:r>
      <w:r w:rsidR="009D556C" w:rsidRPr="00BB306E">
        <w:rPr>
          <w:rFonts w:ascii="Times New Roman" w:hAnsi="Times New Roman" w:cs="Times New Roman"/>
          <w:sz w:val="20"/>
          <w:szCs w:val="20"/>
        </w:rPr>
        <w:t>serves this paper by providing</w:t>
      </w:r>
      <w:r w:rsidRPr="00BB306E">
        <w:rPr>
          <w:rFonts w:ascii="Times New Roman" w:hAnsi="Times New Roman" w:cs="Times New Roman"/>
          <w:sz w:val="20"/>
          <w:szCs w:val="20"/>
        </w:rPr>
        <w:t xml:space="preserve"> </w:t>
      </w:r>
      <w:r w:rsidR="009D556C" w:rsidRPr="00BB306E">
        <w:rPr>
          <w:rFonts w:ascii="Times New Roman" w:hAnsi="Times New Roman" w:cs="Times New Roman"/>
          <w:sz w:val="20"/>
          <w:szCs w:val="20"/>
        </w:rPr>
        <w:t xml:space="preserve">an international comparative perspective </w:t>
      </w:r>
      <w:r w:rsidR="00E174F2" w:rsidRPr="00BB306E">
        <w:rPr>
          <w:rFonts w:ascii="Times New Roman" w:hAnsi="Times New Roman" w:cs="Times New Roman"/>
          <w:sz w:val="20"/>
          <w:szCs w:val="20"/>
        </w:rPr>
        <w:t xml:space="preserve">on </w:t>
      </w:r>
      <w:r w:rsidR="009D556C" w:rsidRPr="00BB306E">
        <w:rPr>
          <w:rFonts w:ascii="Times New Roman" w:hAnsi="Times New Roman" w:cs="Times New Roman"/>
          <w:sz w:val="20"/>
          <w:szCs w:val="20"/>
        </w:rPr>
        <w:t>the effects of disclaimers in mitigating arranging bank liability</w:t>
      </w:r>
      <w:r w:rsidRPr="00BB306E">
        <w:rPr>
          <w:rFonts w:ascii="Times New Roman" w:hAnsi="Times New Roman" w:cs="Times New Roman"/>
          <w:sz w:val="20"/>
          <w:szCs w:val="20"/>
        </w:rPr>
        <w:t xml:space="preserve">. </w:t>
      </w:r>
      <w:r w:rsidR="00853F78" w:rsidRPr="00BB306E">
        <w:rPr>
          <w:rFonts w:ascii="Times New Roman" w:hAnsi="Times New Roman" w:cs="Times New Roman"/>
          <w:sz w:val="20"/>
          <w:szCs w:val="20"/>
        </w:rPr>
        <w:t>In analyzing the sufficiency of the plaintiff’s allegations</w:t>
      </w:r>
      <w:r w:rsidR="008714F1" w:rsidRPr="00BB306E">
        <w:rPr>
          <w:rFonts w:ascii="Times New Roman" w:hAnsi="Times New Roman" w:cs="Times New Roman"/>
          <w:sz w:val="20"/>
          <w:szCs w:val="20"/>
        </w:rPr>
        <w:t xml:space="preserve"> against JP Morgan</w:t>
      </w:r>
      <w:r w:rsidR="00853F78" w:rsidRPr="00BB306E">
        <w:rPr>
          <w:rFonts w:ascii="Times New Roman" w:hAnsi="Times New Roman" w:cs="Times New Roman"/>
          <w:sz w:val="20"/>
          <w:szCs w:val="20"/>
        </w:rPr>
        <w:t>, the court in</w:t>
      </w:r>
      <w:r w:rsidRPr="00BB306E">
        <w:rPr>
          <w:rFonts w:ascii="Times New Roman" w:hAnsi="Times New Roman" w:cs="Times New Roman"/>
          <w:sz w:val="20"/>
          <w:szCs w:val="20"/>
        </w:rPr>
        <w:t xml:space="preserve"> </w:t>
      </w:r>
      <w:r w:rsidRPr="00BB306E">
        <w:rPr>
          <w:rFonts w:ascii="Times New Roman" w:hAnsi="Times New Roman" w:cs="Times New Roman"/>
          <w:i/>
          <w:sz w:val="20"/>
          <w:szCs w:val="20"/>
        </w:rPr>
        <w:t>Abu Dhabi Commercial Bank v. Morgan Stanley &amp; Co</w:t>
      </w:r>
      <w:r w:rsidR="00853F78" w:rsidRPr="00BB306E">
        <w:rPr>
          <w:rFonts w:ascii="Times New Roman" w:hAnsi="Times New Roman" w:cs="Times New Roman"/>
          <w:sz w:val="20"/>
          <w:szCs w:val="20"/>
        </w:rPr>
        <w:t>.</w:t>
      </w:r>
      <w:r w:rsidRPr="00BB306E">
        <w:rPr>
          <w:rFonts w:ascii="Times New Roman" w:hAnsi="Times New Roman" w:cs="Times New Roman"/>
          <w:sz w:val="20"/>
          <w:szCs w:val="20"/>
        </w:rPr>
        <w:t xml:space="preserve"> </w:t>
      </w:r>
      <w:r w:rsidR="009D556C" w:rsidRPr="00BB306E">
        <w:rPr>
          <w:rFonts w:ascii="Times New Roman" w:hAnsi="Times New Roman" w:cs="Times New Roman"/>
          <w:sz w:val="20"/>
          <w:szCs w:val="20"/>
        </w:rPr>
        <w:t xml:space="preserve">discussed </w:t>
      </w:r>
      <w:r w:rsidRPr="00BB306E">
        <w:rPr>
          <w:rFonts w:ascii="Times New Roman" w:hAnsi="Times New Roman" w:cs="Times New Roman"/>
          <w:sz w:val="20"/>
          <w:szCs w:val="20"/>
        </w:rPr>
        <w:t xml:space="preserve">the reasonableness of the plaintiffs’ reliance on the </w:t>
      </w:r>
      <w:r w:rsidR="009C109D" w:rsidRPr="00BB306E">
        <w:rPr>
          <w:rFonts w:ascii="Times New Roman" w:hAnsi="Times New Roman" w:cs="Times New Roman"/>
          <w:sz w:val="20"/>
          <w:szCs w:val="20"/>
        </w:rPr>
        <w:t xml:space="preserve">defendants’ </w:t>
      </w:r>
      <w:r w:rsidRPr="00BB306E">
        <w:rPr>
          <w:rFonts w:ascii="Times New Roman" w:hAnsi="Times New Roman" w:cs="Times New Roman"/>
          <w:sz w:val="20"/>
          <w:szCs w:val="20"/>
        </w:rPr>
        <w:t>Information</w:t>
      </w:r>
      <w:r w:rsidR="008714F1" w:rsidRPr="00BB306E">
        <w:rPr>
          <w:rFonts w:ascii="Times New Roman" w:hAnsi="Times New Roman" w:cs="Times New Roman"/>
          <w:sz w:val="20"/>
          <w:szCs w:val="20"/>
        </w:rPr>
        <w:t xml:space="preserve"> Memoranda</w:t>
      </w:r>
      <w:r w:rsidRPr="00BB306E">
        <w:rPr>
          <w:rFonts w:ascii="Times New Roman" w:hAnsi="Times New Roman" w:cs="Times New Roman"/>
          <w:sz w:val="20"/>
          <w:szCs w:val="20"/>
        </w:rPr>
        <w:t>.</w:t>
      </w:r>
      <w:r w:rsidR="006F28AF" w:rsidRPr="00BB306E">
        <w:rPr>
          <w:rStyle w:val="FootnoteReference"/>
          <w:rFonts w:ascii="Times New Roman" w:hAnsi="Times New Roman" w:cs="Times New Roman"/>
          <w:sz w:val="20"/>
          <w:szCs w:val="20"/>
        </w:rPr>
        <w:footnoteReference w:id="46"/>
      </w:r>
      <w:r w:rsidRPr="00BB306E">
        <w:rPr>
          <w:rFonts w:ascii="Times New Roman" w:hAnsi="Times New Roman" w:cs="Times New Roman"/>
          <w:sz w:val="20"/>
          <w:szCs w:val="20"/>
        </w:rPr>
        <w:t xml:space="preserve"> </w:t>
      </w:r>
    </w:p>
    <w:p w14:paraId="1AECFC30" w14:textId="77777777" w:rsidR="008E55DB" w:rsidRPr="00BB306E" w:rsidRDefault="008E55DB" w:rsidP="00BB306E">
      <w:pPr>
        <w:ind w:firstLine="1440"/>
        <w:rPr>
          <w:rFonts w:ascii="Times New Roman" w:hAnsi="Times New Roman" w:cs="Times New Roman"/>
          <w:i/>
          <w:sz w:val="20"/>
          <w:szCs w:val="20"/>
        </w:rPr>
      </w:pPr>
    </w:p>
    <w:p w14:paraId="1057FF62" w14:textId="77777777" w:rsidR="008E55DB" w:rsidRPr="00BB306E" w:rsidRDefault="008E55DB" w:rsidP="00BB306E">
      <w:pPr>
        <w:pStyle w:val="ListParagraph"/>
        <w:numPr>
          <w:ilvl w:val="2"/>
          <w:numId w:val="4"/>
        </w:numPr>
        <w:rPr>
          <w:rFonts w:ascii="Times New Roman" w:hAnsi="Times New Roman" w:cs="Times New Roman"/>
          <w:sz w:val="20"/>
          <w:szCs w:val="20"/>
          <w:u w:val="single"/>
        </w:rPr>
      </w:pPr>
      <w:r w:rsidRPr="00BB306E">
        <w:rPr>
          <w:rFonts w:ascii="Times New Roman" w:hAnsi="Times New Roman" w:cs="Times New Roman"/>
          <w:sz w:val="20"/>
          <w:szCs w:val="20"/>
          <w:u w:val="single"/>
        </w:rPr>
        <w:t>Case Summary and Analysis</w:t>
      </w:r>
    </w:p>
    <w:p w14:paraId="28E004D8" w14:textId="213CCB8B" w:rsidR="001774BC" w:rsidRPr="00BB306E" w:rsidRDefault="001774BC" w:rsidP="00BB306E">
      <w:pPr>
        <w:rPr>
          <w:rFonts w:ascii="Times New Roman" w:hAnsi="Times New Roman" w:cs="Times New Roman"/>
          <w:sz w:val="20"/>
          <w:szCs w:val="20"/>
        </w:rPr>
      </w:pPr>
    </w:p>
    <w:p w14:paraId="703C3F78" w14:textId="77777777" w:rsidR="008E55DB" w:rsidRPr="00BB306E" w:rsidRDefault="00C3097F"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Morgan Stanley was the arranging bank (and agent) for </w:t>
      </w:r>
      <w:r w:rsidR="00BA3F40" w:rsidRPr="00BB306E">
        <w:rPr>
          <w:rFonts w:ascii="Times New Roman" w:hAnsi="Times New Roman" w:cs="Times New Roman"/>
          <w:sz w:val="20"/>
          <w:szCs w:val="20"/>
        </w:rPr>
        <w:t>a transaction involving bonds issued by a special investment vehicle</w:t>
      </w:r>
      <w:r w:rsidRPr="00BB306E">
        <w:rPr>
          <w:rFonts w:ascii="Times New Roman" w:hAnsi="Times New Roman" w:cs="Times New Roman"/>
          <w:sz w:val="20"/>
          <w:szCs w:val="20"/>
        </w:rPr>
        <w:t xml:space="preserve">. </w:t>
      </w:r>
      <w:r w:rsidR="00BA3F40" w:rsidRPr="00BB306E">
        <w:rPr>
          <w:rFonts w:ascii="Times New Roman" w:hAnsi="Times New Roman" w:cs="Times New Roman"/>
          <w:sz w:val="20"/>
          <w:szCs w:val="20"/>
        </w:rPr>
        <w:t xml:space="preserve">The bonds were subject to ratings by the credit rating agencies that </w:t>
      </w:r>
      <w:r w:rsidR="008714F1" w:rsidRPr="00BB306E">
        <w:rPr>
          <w:rFonts w:ascii="Times New Roman" w:hAnsi="Times New Roman" w:cs="Times New Roman"/>
          <w:sz w:val="20"/>
          <w:szCs w:val="20"/>
        </w:rPr>
        <w:t xml:space="preserve">were notoriously misaligned </w:t>
      </w:r>
      <w:r w:rsidR="00BA3F40" w:rsidRPr="00BB306E">
        <w:rPr>
          <w:rFonts w:ascii="Times New Roman" w:hAnsi="Times New Roman" w:cs="Times New Roman"/>
          <w:sz w:val="20"/>
          <w:szCs w:val="20"/>
        </w:rPr>
        <w:t xml:space="preserve">with market practices. </w:t>
      </w:r>
      <w:r w:rsidR="00382D57" w:rsidRPr="00BB306E">
        <w:rPr>
          <w:rFonts w:ascii="Times New Roman" w:hAnsi="Times New Roman" w:cs="Times New Roman"/>
          <w:sz w:val="20"/>
          <w:szCs w:val="20"/>
        </w:rPr>
        <w:t xml:space="preserve">Morgan Stanley distributed Information Memoranda </w:t>
      </w:r>
      <w:r w:rsidR="00BA3F40" w:rsidRPr="00BB306E">
        <w:rPr>
          <w:rFonts w:ascii="Times New Roman" w:hAnsi="Times New Roman" w:cs="Times New Roman"/>
          <w:sz w:val="20"/>
          <w:szCs w:val="20"/>
        </w:rPr>
        <w:t xml:space="preserve">to investors </w:t>
      </w:r>
      <w:r w:rsidR="00382D57" w:rsidRPr="00BB306E">
        <w:rPr>
          <w:rFonts w:ascii="Times New Roman" w:hAnsi="Times New Roman" w:cs="Times New Roman"/>
          <w:sz w:val="20"/>
          <w:szCs w:val="20"/>
        </w:rPr>
        <w:t>that contained express disclaimers</w:t>
      </w:r>
      <w:r w:rsidR="00BA3F40" w:rsidRPr="00BB306E">
        <w:rPr>
          <w:rFonts w:ascii="Times New Roman" w:hAnsi="Times New Roman" w:cs="Times New Roman"/>
          <w:sz w:val="20"/>
          <w:szCs w:val="20"/>
        </w:rPr>
        <w:t xml:space="preserve"> of liability. </w:t>
      </w:r>
      <w:r w:rsidR="0072198D" w:rsidRPr="00BB306E">
        <w:rPr>
          <w:rFonts w:ascii="Times New Roman" w:hAnsi="Times New Roman" w:cs="Times New Roman"/>
          <w:sz w:val="20"/>
          <w:szCs w:val="20"/>
        </w:rPr>
        <w:t>The plaintiffs brought a multitude of claims against the defendants, including common law fraud, negligence, negligent misrepresentation, and breach of duty.</w:t>
      </w:r>
      <w:r w:rsidR="0072198D" w:rsidRPr="00BB306E">
        <w:rPr>
          <w:rStyle w:val="FootnoteReference"/>
          <w:rFonts w:ascii="Times New Roman" w:hAnsi="Times New Roman" w:cs="Times New Roman"/>
          <w:sz w:val="20"/>
          <w:szCs w:val="20"/>
        </w:rPr>
        <w:footnoteReference w:id="47"/>
      </w:r>
      <w:r w:rsidR="0072198D" w:rsidRPr="00BB306E">
        <w:rPr>
          <w:rFonts w:ascii="Times New Roman" w:hAnsi="Times New Roman" w:cs="Times New Roman"/>
          <w:sz w:val="20"/>
          <w:szCs w:val="20"/>
        </w:rPr>
        <w:t xml:space="preserve"> While, these claims were not judged on the merits as the case settled in 2013, the court analyzed whether several of the plaintiffs’ claims were sufficiently pled.</w:t>
      </w:r>
      <w:r w:rsidR="002B1C4A" w:rsidRPr="00BB306E">
        <w:rPr>
          <w:rStyle w:val="FootnoteReference"/>
          <w:rFonts w:ascii="Times New Roman" w:hAnsi="Times New Roman" w:cs="Times New Roman"/>
          <w:sz w:val="20"/>
          <w:szCs w:val="20"/>
        </w:rPr>
        <w:footnoteReference w:id="48"/>
      </w:r>
    </w:p>
    <w:p w14:paraId="216D0EF0" w14:textId="77777777" w:rsidR="008E55DB" w:rsidRPr="00BB306E" w:rsidRDefault="00382D57" w:rsidP="00BB306E">
      <w:pPr>
        <w:ind w:firstLine="2160"/>
        <w:rPr>
          <w:rFonts w:ascii="Times New Roman" w:hAnsi="Times New Roman" w:cs="Times New Roman"/>
          <w:sz w:val="20"/>
          <w:szCs w:val="20"/>
        </w:rPr>
      </w:pPr>
      <w:r w:rsidRPr="00BB306E">
        <w:rPr>
          <w:rFonts w:ascii="Times New Roman" w:hAnsi="Times New Roman" w:cs="Times New Roman"/>
          <w:sz w:val="20"/>
          <w:szCs w:val="20"/>
        </w:rPr>
        <w:t>Th</w:t>
      </w:r>
      <w:r w:rsidR="00705522" w:rsidRPr="00BB306E">
        <w:rPr>
          <w:rFonts w:ascii="Times New Roman" w:hAnsi="Times New Roman" w:cs="Times New Roman"/>
          <w:sz w:val="20"/>
          <w:szCs w:val="20"/>
        </w:rPr>
        <w:t xml:space="preserve">e </w:t>
      </w:r>
      <w:r w:rsidRPr="00BB306E">
        <w:rPr>
          <w:rFonts w:ascii="Times New Roman" w:hAnsi="Times New Roman" w:cs="Times New Roman"/>
          <w:sz w:val="20"/>
          <w:szCs w:val="20"/>
        </w:rPr>
        <w:t>court’s discussion that is</w:t>
      </w:r>
      <w:r w:rsidR="00705522" w:rsidRPr="00BB306E">
        <w:rPr>
          <w:rFonts w:ascii="Times New Roman" w:hAnsi="Times New Roman" w:cs="Times New Roman"/>
          <w:sz w:val="20"/>
          <w:szCs w:val="20"/>
        </w:rPr>
        <w:t xml:space="preserve"> most pertinent to this paper </w:t>
      </w:r>
      <w:r w:rsidRPr="00BB306E">
        <w:rPr>
          <w:rFonts w:ascii="Times New Roman" w:hAnsi="Times New Roman" w:cs="Times New Roman"/>
          <w:sz w:val="20"/>
          <w:szCs w:val="20"/>
        </w:rPr>
        <w:t>emerges from Morgan Stanley’s motion to dismiss the plaintiff’s common law fraud claims on the basis that the plaintiff’s did not satisfy the element of reliance necessary to establish the claim.</w:t>
      </w:r>
      <w:r w:rsidR="0073761D" w:rsidRPr="00BB306E">
        <w:rPr>
          <w:rStyle w:val="FootnoteReference"/>
          <w:rFonts w:ascii="Times New Roman" w:hAnsi="Times New Roman" w:cs="Times New Roman"/>
          <w:sz w:val="20"/>
          <w:szCs w:val="20"/>
        </w:rPr>
        <w:footnoteReference w:id="49"/>
      </w:r>
      <w:r w:rsidRPr="00BB306E">
        <w:rPr>
          <w:rFonts w:ascii="Times New Roman" w:hAnsi="Times New Roman" w:cs="Times New Roman"/>
          <w:sz w:val="20"/>
          <w:szCs w:val="20"/>
        </w:rPr>
        <w:t xml:space="preserve"> Morgan Stanley argued that the plaintiffs’ reliance on the allegedly false and misleading ratings was unreasonable when the plaintiffs were sophisticated investors and the Information Memoranda contained disclaimers.</w:t>
      </w:r>
      <w:r w:rsidRPr="00BB306E">
        <w:rPr>
          <w:rStyle w:val="FootnoteReference"/>
          <w:rFonts w:ascii="Times New Roman" w:hAnsi="Times New Roman" w:cs="Times New Roman"/>
          <w:sz w:val="20"/>
          <w:szCs w:val="20"/>
        </w:rPr>
        <w:footnoteReference w:id="50"/>
      </w:r>
    </w:p>
    <w:p w14:paraId="2F5829DD" w14:textId="63ABC252" w:rsidR="00382D57" w:rsidRPr="00BB306E" w:rsidRDefault="00382D57" w:rsidP="00BB306E">
      <w:pPr>
        <w:ind w:firstLine="2160"/>
        <w:rPr>
          <w:rFonts w:ascii="Times New Roman" w:hAnsi="Times New Roman" w:cs="Times New Roman"/>
          <w:sz w:val="20"/>
          <w:szCs w:val="20"/>
        </w:rPr>
      </w:pPr>
      <w:r w:rsidRPr="00BB306E">
        <w:rPr>
          <w:rFonts w:ascii="Times New Roman" w:hAnsi="Times New Roman" w:cs="Times New Roman"/>
          <w:sz w:val="20"/>
          <w:szCs w:val="20"/>
        </w:rPr>
        <w:t>The judge dismissed Morgan Stanley’s motion to dismiss the common law fraud claims, finding that the plaintiffs’ pleadings were sufficient.</w:t>
      </w:r>
      <w:r w:rsidRPr="00BB306E">
        <w:rPr>
          <w:rStyle w:val="FootnoteReference"/>
          <w:rFonts w:ascii="Times New Roman" w:hAnsi="Times New Roman" w:cs="Times New Roman"/>
          <w:sz w:val="20"/>
          <w:szCs w:val="20"/>
        </w:rPr>
        <w:footnoteReference w:id="51"/>
      </w:r>
      <w:r w:rsidR="008E55DB" w:rsidRPr="00BB306E">
        <w:rPr>
          <w:rFonts w:ascii="Times New Roman" w:hAnsi="Times New Roman" w:cs="Times New Roman"/>
          <w:sz w:val="20"/>
          <w:szCs w:val="20"/>
        </w:rPr>
        <w:t xml:space="preserve"> </w:t>
      </w:r>
      <w:r w:rsidRPr="00BB306E">
        <w:rPr>
          <w:rFonts w:ascii="Times New Roman" w:hAnsi="Times New Roman" w:cs="Times New Roman"/>
          <w:sz w:val="20"/>
          <w:szCs w:val="20"/>
        </w:rPr>
        <w:t>While the court agreed the investors were sophisticated, it reasoned that because the market had come to rely on the accuracy of credit ratings and independence of the rating agencies, the plaintiffs’ reliance was reasonable.</w:t>
      </w:r>
      <w:r w:rsidR="00E50C4F" w:rsidRPr="00BB306E">
        <w:rPr>
          <w:rStyle w:val="FootnoteReference"/>
          <w:rFonts w:ascii="Times New Roman" w:hAnsi="Times New Roman" w:cs="Times New Roman"/>
          <w:sz w:val="20"/>
          <w:szCs w:val="20"/>
        </w:rPr>
        <w:footnoteReference w:id="52"/>
      </w:r>
      <w:r w:rsidRPr="00BB306E">
        <w:rPr>
          <w:rFonts w:ascii="Times New Roman" w:hAnsi="Times New Roman" w:cs="Times New Roman"/>
          <w:sz w:val="20"/>
          <w:szCs w:val="20"/>
        </w:rPr>
        <w:t xml:space="preserve"> </w:t>
      </w:r>
    </w:p>
    <w:p w14:paraId="4F4AA858" w14:textId="77777777" w:rsidR="008E55DB" w:rsidRPr="00BB306E" w:rsidRDefault="008E55DB" w:rsidP="00BB306E">
      <w:pPr>
        <w:rPr>
          <w:rFonts w:ascii="Times New Roman" w:hAnsi="Times New Roman" w:cs="Times New Roman"/>
          <w:sz w:val="20"/>
          <w:szCs w:val="20"/>
        </w:rPr>
      </w:pPr>
    </w:p>
    <w:p w14:paraId="65312E16" w14:textId="77777777" w:rsidR="008E55DB" w:rsidRPr="00BB306E" w:rsidRDefault="008E55DB" w:rsidP="00BB306E">
      <w:pPr>
        <w:pStyle w:val="ListParagraph"/>
        <w:numPr>
          <w:ilvl w:val="2"/>
          <w:numId w:val="4"/>
        </w:numPr>
        <w:rPr>
          <w:rFonts w:ascii="Times New Roman" w:hAnsi="Times New Roman" w:cs="Times New Roman"/>
          <w:sz w:val="20"/>
          <w:szCs w:val="20"/>
        </w:rPr>
      </w:pPr>
      <w:r w:rsidRPr="00BB306E">
        <w:rPr>
          <w:rFonts w:ascii="Times New Roman" w:hAnsi="Times New Roman" w:cs="Times New Roman"/>
          <w:sz w:val="20"/>
          <w:szCs w:val="20"/>
          <w:u w:val="single"/>
        </w:rPr>
        <w:t>General implications for arranging bank liability with respect to disclaimers</w:t>
      </w:r>
    </w:p>
    <w:p w14:paraId="08F61FDE" w14:textId="77777777" w:rsidR="008E55DB" w:rsidRPr="00BB306E" w:rsidRDefault="008E55DB" w:rsidP="00BB306E">
      <w:pPr>
        <w:rPr>
          <w:rFonts w:ascii="Times New Roman" w:hAnsi="Times New Roman" w:cs="Times New Roman"/>
          <w:sz w:val="20"/>
          <w:szCs w:val="20"/>
        </w:rPr>
      </w:pPr>
    </w:p>
    <w:p w14:paraId="0673FEEE" w14:textId="77777777" w:rsidR="008E55DB" w:rsidRPr="00BB306E" w:rsidRDefault="00985FCF"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Although it is in the context of fraudulent rather than negligent misrepresentation, the reasonableness analysis in </w:t>
      </w:r>
      <w:r w:rsidRPr="00BB306E">
        <w:rPr>
          <w:rFonts w:ascii="Times New Roman" w:hAnsi="Times New Roman" w:cs="Times New Roman"/>
          <w:i/>
          <w:sz w:val="20"/>
          <w:szCs w:val="20"/>
        </w:rPr>
        <w:t>Abu Dhabi</w:t>
      </w:r>
      <w:r w:rsidRPr="00BB306E">
        <w:rPr>
          <w:rFonts w:ascii="Times New Roman" w:hAnsi="Times New Roman" w:cs="Times New Roman"/>
          <w:sz w:val="20"/>
          <w:szCs w:val="20"/>
        </w:rPr>
        <w:t xml:space="preserve"> ports similarity to the court’s reasoning in both </w:t>
      </w:r>
      <w:r w:rsidRPr="00BB306E">
        <w:rPr>
          <w:rFonts w:ascii="Times New Roman" w:hAnsi="Times New Roman" w:cs="Times New Roman"/>
          <w:i/>
          <w:sz w:val="20"/>
          <w:szCs w:val="20"/>
        </w:rPr>
        <w:t xml:space="preserve">IFE </w:t>
      </w:r>
      <w:r w:rsidRPr="00BB306E">
        <w:rPr>
          <w:rFonts w:ascii="Times New Roman" w:hAnsi="Times New Roman" w:cs="Times New Roman"/>
          <w:sz w:val="20"/>
          <w:szCs w:val="20"/>
        </w:rPr>
        <w:t xml:space="preserve">and </w:t>
      </w:r>
      <w:proofErr w:type="spellStart"/>
      <w:r w:rsidRPr="00BB306E">
        <w:rPr>
          <w:rFonts w:ascii="Times New Roman" w:hAnsi="Times New Roman" w:cs="Times New Roman"/>
          <w:i/>
          <w:sz w:val="20"/>
          <w:szCs w:val="20"/>
        </w:rPr>
        <w:t>Peekay</w:t>
      </w:r>
      <w:proofErr w:type="spellEnd"/>
      <w:r w:rsidRPr="00BB306E">
        <w:rPr>
          <w:rFonts w:ascii="Times New Roman" w:hAnsi="Times New Roman" w:cs="Times New Roman"/>
          <w:sz w:val="20"/>
          <w:szCs w:val="20"/>
        </w:rPr>
        <w:t xml:space="preserve">. For example, in </w:t>
      </w:r>
      <w:proofErr w:type="spellStart"/>
      <w:r w:rsidRPr="00BB306E">
        <w:rPr>
          <w:rFonts w:ascii="Times New Roman" w:hAnsi="Times New Roman" w:cs="Times New Roman"/>
          <w:i/>
          <w:sz w:val="20"/>
          <w:szCs w:val="20"/>
        </w:rPr>
        <w:t>Peekay</w:t>
      </w:r>
      <w:proofErr w:type="spellEnd"/>
      <w:r w:rsidRPr="00BB306E">
        <w:rPr>
          <w:rFonts w:ascii="Times New Roman" w:hAnsi="Times New Roman" w:cs="Times New Roman"/>
          <w:sz w:val="20"/>
          <w:szCs w:val="20"/>
        </w:rPr>
        <w:t xml:space="preserve">, the court did not find the claimant’s reliance reasonable when he was an experienced investor and claimed that he relied on a non-specific description of an investment. Although the </w:t>
      </w:r>
      <w:r w:rsidRPr="00BB306E">
        <w:rPr>
          <w:rFonts w:ascii="Times New Roman" w:hAnsi="Times New Roman" w:cs="Times New Roman"/>
          <w:i/>
          <w:sz w:val="20"/>
          <w:szCs w:val="20"/>
        </w:rPr>
        <w:t xml:space="preserve">IFE Fund </w:t>
      </w:r>
      <w:r w:rsidRPr="00BB306E">
        <w:rPr>
          <w:rFonts w:ascii="Times New Roman" w:hAnsi="Times New Roman" w:cs="Times New Roman"/>
          <w:sz w:val="20"/>
          <w:szCs w:val="20"/>
        </w:rPr>
        <w:t>court did not apply a reasonableness analysis to the claimant’s reliance claim per se, it was not persuaded that the claimant had grounds for relying on the bank’s updating it about information in the Memoranda that may have been incorrect.</w:t>
      </w:r>
      <w:r w:rsidRPr="00BB306E">
        <w:rPr>
          <w:rStyle w:val="FootnoteReference"/>
          <w:rFonts w:ascii="Times New Roman" w:hAnsi="Times New Roman" w:cs="Times New Roman"/>
          <w:sz w:val="20"/>
          <w:szCs w:val="20"/>
        </w:rPr>
        <w:footnoteReference w:id="53"/>
      </w:r>
      <w:r w:rsidRPr="00BB306E">
        <w:rPr>
          <w:rFonts w:ascii="Times New Roman" w:hAnsi="Times New Roman" w:cs="Times New Roman"/>
          <w:sz w:val="20"/>
          <w:szCs w:val="20"/>
        </w:rPr>
        <w:t xml:space="preserve"> Thus, one might say the court analyzed whether the claimant’s assumptions about what the defendant was representing were reasonable as part of its decision. </w:t>
      </w:r>
    </w:p>
    <w:p w14:paraId="3A5AB6E1" w14:textId="77777777" w:rsidR="008E55DB" w:rsidRPr="00BB306E" w:rsidRDefault="00985FCF"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In drawing these parallels, one may point out that </w:t>
      </w:r>
      <w:r w:rsidRPr="00BB306E">
        <w:rPr>
          <w:rFonts w:ascii="Times New Roman" w:hAnsi="Times New Roman" w:cs="Times New Roman"/>
          <w:i/>
          <w:sz w:val="20"/>
          <w:szCs w:val="20"/>
        </w:rPr>
        <w:t>Abu Dhabi</w:t>
      </w:r>
      <w:r w:rsidRPr="00BB306E">
        <w:rPr>
          <w:rFonts w:ascii="Times New Roman" w:hAnsi="Times New Roman" w:cs="Times New Roman"/>
          <w:sz w:val="20"/>
          <w:szCs w:val="20"/>
        </w:rPr>
        <w:t xml:space="preserve"> contributes to this line of cases by establishing that even when a claimant is a sophisticated, experienced investor, if its expectations about the bank’s representations are in line with the market at large, then a court may find the bank liable for misrepresentation. In other words, a court is likely to find that disclaimers outside the range of market terms will not serve an exculpatory function for arranging banks. </w:t>
      </w:r>
    </w:p>
    <w:p w14:paraId="65CDF499" w14:textId="77777777" w:rsidR="00083B76" w:rsidRPr="00BB306E" w:rsidRDefault="00985FCF" w:rsidP="00BB306E">
      <w:pPr>
        <w:ind w:firstLine="2160"/>
        <w:rPr>
          <w:rFonts w:ascii="Times New Roman" w:hAnsi="Times New Roman" w:cs="Times New Roman"/>
          <w:sz w:val="20"/>
          <w:szCs w:val="20"/>
        </w:rPr>
      </w:pPr>
      <w:r w:rsidRPr="00BB306E">
        <w:rPr>
          <w:rFonts w:ascii="Times New Roman" w:hAnsi="Times New Roman" w:cs="Times New Roman"/>
          <w:sz w:val="20"/>
          <w:szCs w:val="20"/>
        </w:rPr>
        <w:t xml:space="preserve">On the other hand, the expertise of the claimant may favor the bank’s argument in a fraudulent misrepresentation case. In </w:t>
      </w:r>
      <w:r w:rsidRPr="00BB306E">
        <w:rPr>
          <w:rFonts w:ascii="Times New Roman" w:hAnsi="Times New Roman" w:cs="Times New Roman"/>
          <w:bCs/>
          <w:i/>
          <w:sz w:val="20"/>
          <w:szCs w:val="20"/>
        </w:rPr>
        <w:t xml:space="preserve">Bankers Trust International plc v PT </w:t>
      </w:r>
      <w:proofErr w:type="spellStart"/>
      <w:r w:rsidRPr="00BB306E">
        <w:rPr>
          <w:rFonts w:ascii="Times New Roman" w:hAnsi="Times New Roman" w:cs="Times New Roman"/>
          <w:bCs/>
          <w:i/>
          <w:sz w:val="20"/>
          <w:szCs w:val="20"/>
        </w:rPr>
        <w:t>Dharmala</w:t>
      </w:r>
      <w:proofErr w:type="spellEnd"/>
      <w:r w:rsidRPr="00BB306E">
        <w:rPr>
          <w:rFonts w:ascii="Times New Roman" w:hAnsi="Times New Roman" w:cs="Times New Roman"/>
          <w:bCs/>
          <w:i/>
          <w:sz w:val="20"/>
          <w:szCs w:val="20"/>
        </w:rPr>
        <w:t xml:space="preserve"> Sakti Sejahtera</w:t>
      </w:r>
      <w:r w:rsidRPr="00BB306E">
        <w:rPr>
          <w:rFonts w:ascii="Times New Roman" w:hAnsi="Times New Roman" w:cs="Times New Roman"/>
          <w:sz w:val="20"/>
          <w:szCs w:val="20"/>
        </w:rPr>
        <w:t>, when the court addressed whether the defendant had made fraudulent representations about complicated credit swaps to the claimant, it highlighted the threshold question of whether the claimant was induced.</w:t>
      </w:r>
      <w:r w:rsidRPr="00BB306E">
        <w:rPr>
          <w:rStyle w:val="FootnoteReference"/>
          <w:rFonts w:ascii="Times New Roman" w:hAnsi="Times New Roman" w:cs="Times New Roman"/>
          <w:sz w:val="20"/>
          <w:szCs w:val="20"/>
        </w:rPr>
        <w:footnoteReference w:id="54"/>
      </w:r>
      <w:r w:rsidRPr="00BB306E">
        <w:rPr>
          <w:rFonts w:ascii="Times New Roman" w:hAnsi="Times New Roman" w:cs="Times New Roman"/>
          <w:sz w:val="20"/>
          <w:szCs w:val="20"/>
        </w:rPr>
        <w:t xml:space="preserve"> The credit swaps were part of a new and complex investment product that the bank had devised and was marketing to potential clients. Through a fact-intensive analysis, the court found that the claimant failed to show by direct evidence that it was induced by the bank to enter the transaction in the way that it did, and furthermore, that “by and large capable of evaluating and looking after its own </w:t>
      </w:r>
      <w:r w:rsidRPr="00BB306E">
        <w:rPr>
          <w:rFonts w:ascii="Times New Roman" w:hAnsi="Times New Roman" w:cs="Times New Roman"/>
          <w:sz w:val="20"/>
          <w:szCs w:val="20"/>
        </w:rPr>
        <w:lastRenderedPageBreak/>
        <w:t xml:space="preserve">position and, in my judgment and contrary to its own case, did so”. </w:t>
      </w:r>
      <w:r w:rsidRPr="00BB306E">
        <w:rPr>
          <w:rStyle w:val="FootnoteReference"/>
          <w:rFonts w:ascii="Times New Roman" w:hAnsi="Times New Roman" w:cs="Times New Roman"/>
          <w:sz w:val="20"/>
          <w:szCs w:val="20"/>
        </w:rPr>
        <w:footnoteReference w:id="55"/>
      </w:r>
      <w:r w:rsidRPr="00BB306E">
        <w:rPr>
          <w:rFonts w:ascii="Times New Roman" w:hAnsi="Times New Roman" w:cs="Times New Roman"/>
          <w:sz w:val="20"/>
          <w:szCs w:val="20"/>
        </w:rPr>
        <w:t xml:space="preserve"> Thus, the investor’s expertise may still work against him, even if the investment product in combination with the bank’s role may edge on the limits of what is market. </w:t>
      </w:r>
    </w:p>
    <w:p w14:paraId="523F0BB7" w14:textId="77777777" w:rsidR="00083B76" w:rsidRPr="00BB306E" w:rsidRDefault="00083B76" w:rsidP="00BB306E">
      <w:pPr>
        <w:ind w:firstLine="2160"/>
        <w:rPr>
          <w:rFonts w:ascii="Times New Roman" w:hAnsi="Times New Roman" w:cs="Times New Roman"/>
          <w:sz w:val="20"/>
          <w:szCs w:val="20"/>
        </w:rPr>
      </w:pPr>
    </w:p>
    <w:p w14:paraId="29A59E60" w14:textId="6D2C1227" w:rsidR="00083B76" w:rsidRPr="00B467C3" w:rsidRDefault="00083B76" w:rsidP="00BB306E">
      <w:pPr>
        <w:pStyle w:val="ListParagraph"/>
        <w:numPr>
          <w:ilvl w:val="0"/>
          <w:numId w:val="4"/>
        </w:numPr>
        <w:rPr>
          <w:rFonts w:ascii="Times New Roman" w:hAnsi="Times New Roman" w:cs="Times New Roman"/>
          <w:b/>
          <w:sz w:val="20"/>
          <w:szCs w:val="20"/>
        </w:rPr>
      </w:pPr>
      <w:r w:rsidRPr="00B467C3">
        <w:rPr>
          <w:rFonts w:ascii="Times New Roman" w:hAnsi="Times New Roman" w:cs="Times New Roman"/>
          <w:b/>
          <w:sz w:val="20"/>
          <w:szCs w:val="20"/>
        </w:rPr>
        <w:t>CONCLUSION</w:t>
      </w:r>
    </w:p>
    <w:p w14:paraId="4EC148E5" w14:textId="77777777" w:rsidR="009C25D3" w:rsidRPr="00BB306E" w:rsidRDefault="009C25D3" w:rsidP="00BB306E">
      <w:pPr>
        <w:pStyle w:val="ListParagraph"/>
        <w:rPr>
          <w:rFonts w:ascii="Times New Roman" w:hAnsi="Times New Roman" w:cs="Times New Roman"/>
          <w:sz w:val="20"/>
          <w:szCs w:val="20"/>
        </w:rPr>
      </w:pPr>
    </w:p>
    <w:p w14:paraId="2314F65E" w14:textId="611F9DE8" w:rsidR="00F43E35" w:rsidRPr="00BB306E" w:rsidRDefault="00784B81" w:rsidP="00BB306E">
      <w:pPr>
        <w:ind w:firstLine="720"/>
        <w:rPr>
          <w:rFonts w:ascii="Times New Roman" w:hAnsi="Times New Roman" w:cs="Times New Roman"/>
          <w:sz w:val="20"/>
          <w:szCs w:val="20"/>
        </w:rPr>
      </w:pPr>
      <w:r w:rsidRPr="00BB306E">
        <w:rPr>
          <w:rFonts w:ascii="Times New Roman" w:hAnsi="Times New Roman" w:cs="Times New Roman"/>
          <w:sz w:val="20"/>
          <w:szCs w:val="20"/>
        </w:rPr>
        <w:t>In sum</w:t>
      </w:r>
      <w:r w:rsidR="00912FCC" w:rsidRPr="00BB306E">
        <w:rPr>
          <w:rFonts w:ascii="Times New Roman" w:hAnsi="Times New Roman" w:cs="Times New Roman"/>
          <w:sz w:val="20"/>
          <w:szCs w:val="20"/>
        </w:rPr>
        <w:t xml:space="preserve">, </w:t>
      </w:r>
      <w:r w:rsidR="00A00789" w:rsidRPr="00BB306E">
        <w:rPr>
          <w:rFonts w:ascii="Times New Roman" w:hAnsi="Times New Roman" w:cs="Times New Roman"/>
          <w:sz w:val="20"/>
          <w:szCs w:val="20"/>
        </w:rPr>
        <w:t xml:space="preserve">recent high-profile case law about the effect of disclaimer clauses on bank liability </w:t>
      </w:r>
      <w:r w:rsidR="00AD31AF" w:rsidRPr="00BB306E">
        <w:rPr>
          <w:rFonts w:ascii="Times New Roman" w:hAnsi="Times New Roman" w:cs="Times New Roman"/>
          <w:sz w:val="20"/>
          <w:szCs w:val="20"/>
        </w:rPr>
        <w:t xml:space="preserve">proves to be highly fact-intensive and </w:t>
      </w:r>
      <w:r w:rsidR="004540D3" w:rsidRPr="00BB306E">
        <w:rPr>
          <w:rFonts w:ascii="Times New Roman" w:hAnsi="Times New Roman" w:cs="Times New Roman"/>
          <w:sz w:val="20"/>
          <w:szCs w:val="20"/>
        </w:rPr>
        <w:t>circumstantial</w:t>
      </w:r>
      <w:r w:rsidR="00F97FEE" w:rsidRPr="00BB306E">
        <w:rPr>
          <w:rFonts w:ascii="Times New Roman" w:hAnsi="Times New Roman" w:cs="Times New Roman"/>
          <w:sz w:val="20"/>
          <w:szCs w:val="20"/>
        </w:rPr>
        <w:t>. In deducing a principle that applies to arranging banks,</w:t>
      </w:r>
      <w:r w:rsidR="00A00789" w:rsidRPr="00BB306E">
        <w:rPr>
          <w:rFonts w:ascii="Times New Roman" w:hAnsi="Times New Roman" w:cs="Times New Roman"/>
          <w:sz w:val="20"/>
          <w:szCs w:val="20"/>
        </w:rPr>
        <w:t xml:space="preserve"> </w:t>
      </w:r>
      <w:r w:rsidR="00F97FEE" w:rsidRPr="00BB306E">
        <w:rPr>
          <w:rFonts w:ascii="Times New Roman" w:hAnsi="Times New Roman" w:cs="Times New Roman"/>
          <w:sz w:val="20"/>
          <w:szCs w:val="20"/>
        </w:rPr>
        <w:t>one may put forth that</w:t>
      </w:r>
      <w:r w:rsidR="00AB22F1" w:rsidRPr="00BB306E">
        <w:rPr>
          <w:rFonts w:ascii="Times New Roman" w:hAnsi="Times New Roman" w:cs="Times New Roman"/>
          <w:sz w:val="20"/>
          <w:szCs w:val="20"/>
        </w:rPr>
        <w:t xml:space="preserve"> in general, a court is likely to uphold the </w:t>
      </w:r>
      <w:r w:rsidR="00A00789" w:rsidRPr="00BB306E">
        <w:rPr>
          <w:rFonts w:ascii="Times New Roman" w:hAnsi="Times New Roman" w:cs="Times New Roman"/>
          <w:sz w:val="20"/>
          <w:szCs w:val="20"/>
        </w:rPr>
        <w:t>disclaimer clause</w:t>
      </w:r>
      <w:r w:rsidR="00AB22F1" w:rsidRPr="00BB306E">
        <w:rPr>
          <w:rFonts w:ascii="Times New Roman" w:hAnsi="Times New Roman" w:cs="Times New Roman"/>
          <w:sz w:val="20"/>
          <w:szCs w:val="20"/>
        </w:rPr>
        <w:t>s in Informational Memoranda</w:t>
      </w:r>
      <w:r w:rsidR="00A00789" w:rsidRPr="00BB306E">
        <w:rPr>
          <w:rFonts w:ascii="Times New Roman" w:hAnsi="Times New Roman" w:cs="Times New Roman"/>
          <w:sz w:val="20"/>
          <w:szCs w:val="20"/>
        </w:rPr>
        <w:t xml:space="preserve">. The court may </w:t>
      </w:r>
      <w:r w:rsidR="006166B0" w:rsidRPr="00BB306E">
        <w:rPr>
          <w:rFonts w:ascii="Times New Roman" w:hAnsi="Times New Roman" w:cs="Times New Roman"/>
          <w:sz w:val="20"/>
          <w:szCs w:val="20"/>
        </w:rPr>
        <w:t>take the view that</w:t>
      </w:r>
      <w:r w:rsidR="00A00789" w:rsidRPr="00BB306E">
        <w:rPr>
          <w:rFonts w:ascii="Times New Roman" w:hAnsi="Times New Roman" w:cs="Times New Roman"/>
          <w:sz w:val="20"/>
          <w:szCs w:val="20"/>
        </w:rPr>
        <w:t xml:space="preserve"> the </w:t>
      </w:r>
      <w:r w:rsidR="006166B0" w:rsidRPr="00BB306E">
        <w:rPr>
          <w:rFonts w:ascii="Times New Roman" w:hAnsi="Times New Roman" w:cs="Times New Roman"/>
          <w:sz w:val="20"/>
          <w:szCs w:val="20"/>
        </w:rPr>
        <w:t>disclaimer is not an</w:t>
      </w:r>
      <w:r w:rsidR="00A00789" w:rsidRPr="00BB306E">
        <w:rPr>
          <w:rFonts w:ascii="Times New Roman" w:hAnsi="Times New Roman" w:cs="Times New Roman"/>
          <w:sz w:val="20"/>
          <w:szCs w:val="20"/>
        </w:rPr>
        <w:t xml:space="preserve"> exclusion </w:t>
      </w:r>
      <w:r w:rsidR="006166B0" w:rsidRPr="00BB306E">
        <w:rPr>
          <w:rFonts w:ascii="Times New Roman" w:hAnsi="Times New Roman" w:cs="Times New Roman"/>
          <w:sz w:val="20"/>
          <w:szCs w:val="20"/>
        </w:rPr>
        <w:t xml:space="preserve">of liability </w:t>
      </w:r>
      <w:r w:rsidR="00A00789" w:rsidRPr="00BB306E">
        <w:rPr>
          <w:rFonts w:ascii="Times New Roman" w:hAnsi="Times New Roman" w:cs="Times New Roman"/>
          <w:sz w:val="20"/>
          <w:szCs w:val="20"/>
        </w:rPr>
        <w:t xml:space="preserve">subject to </w:t>
      </w:r>
      <w:r w:rsidR="006166B0" w:rsidRPr="00BB306E">
        <w:rPr>
          <w:rFonts w:ascii="Times New Roman" w:hAnsi="Times New Roman" w:cs="Times New Roman"/>
          <w:sz w:val="20"/>
          <w:szCs w:val="20"/>
        </w:rPr>
        <w:t xml:space="preserve">legal </w:t>
      </w:r>
      <w:r w:rsidR="00A00789" w:rsidRPr="00BB306E">
        <w:rPr>
          <w:rFonts w:ascii="Times New Roman" w:hAnsi="Times New Roman" w:cs="Times New Roman"/>
          <w:sz w:val="20"/>
          <w:szCs w:val="20"/>
        </w:rPr>
        <w:t xml:space="preserve">limits, but rather, </w:t>
      </w:r>
      <w:r w:rsidR="006166B0" w:rsidRPr="00BB306E">
        <w:rPr>
          <w:rFonts w:ascii="Times New Roman" w:hAnsi="Times New Roman" w:cs="Times New Roman"/>
          <w:sz w:val="20"/>
          <w:szCs w:val="20"/>
        </w:rPr>
        <w:t xml:space="preserve">that it </w:t>
      </w:r>
      <w:r w:rsidR="00A00789" w:rsidRPr="00BB306E">
        <w:rPr>
          <w:rFonts w:ascii="Times New Roman" w:hAnsi="Times New Roman" w:cs="Times New Roman"/>
          <w:sz w:val="20"/>
          <w:szCs w:val="20"/>
        </w:rPr>
        <w:t>defines the relationship between the bank and the claimant in such a way that the bank’s liability for negligence and misrepresentation is reduced.</w:t>
      </w:r>
      <w:r w:rsidR="009736BC" w:rsidRPr="00BB306E">
        <w:rPr>
          <w:rFonts w:ascii="Times New Roman" w:hAnsi="Times New Roman" w:cs="Times New Roman"/>
          <w:sz w:val="20"/>
          <w:szCs w:val="20"/>
        </w:rPr>
        <w:t xml:space="preserve"> </w:t>
      </w:r>
      <w:r w:rsidR="003814C5" w:rsidRPr="00BB306E">
        <w:rPr>
          <w:rFonts w:ascii="Times New Roman" w:hAnsi="Times New Roman" w:cs="Times New Roman"/>
          <w:sz w:val="20"/>
          <w:szCs w:val="20"/>
        </w:rPr>
        <w:t>This is particularly likely when</w:t>
      </w:r>
      <w:r w:rsidR="00355304" w:rsidRPr="00BB306E">
        <w:rPr>
          <w:rFonts w:ascii="Times New Roman" w:hAnsi="Times New Roman" w:cs="Times New Roman"/>
          <w:sz w:val="20"/>
          <w:szCs w:val="20"/>
        </w:rPr>
        <w:t xml:space="preserve"> </w:t>
      </w:r>
      <w:r w:rsidR="003814C5" w:rsidRPr="00BB306E">
        <w:rPr>
          <w:rFonts w:ascii="Times New Roman" w:hAnsi="Times New Roman" w:cs="Times New Roman"/>
          <w:sz w:val="20"/>
          <w:szCs w:val="20"/>
        </w:rPr>
        <w:t>the investor is an</w:t>
      </w:r>
      <w:r w:rsidR="00355304" w:rsidRPr="00BB306E">
        <w:rPr>
          <w:rFonts w:ascii="Times New Roman" w:hAnsi="Times New Roman" w:cs="Times New Roman"/>
          <w:sz w:val="20"/>
          <w:szCs w:val="20"/>
        </w:rPr>
        <w:t xml:space="preserve"> </w:t>
      </w:r>
      <w:r w:rsidR="003814C5" w:rsidRPr="00BB306E">
        <w:rPr>
          <w:rFonts w:ascii="Times New Roman" w:hAnsi="Times New Roman" w:cs="Times New Roman"/>
          <w:sz w:val="20"/>
          <w:szCs w:val="20"/>
        </w:rPr>
        <w:t>experienced expert</w:t>
      </w:r>
      <w:r w:rsidR="00F97FEE" w:rsidRPr="00BB306E">
        <w:rPr>
          <w:rFonts w:ascii="Times New Roman" w:hAnsi="Times New Roman" w:cs="Times New Roman"/>
          <w:sz w:val="20"/>
          <w:szCs w:val="20"/>
        </w:rPr>
        <w:t xml:space="preserve">. </w:t>
      </w:r>
      <w:r w:rsidR="00FF1A99" w:rsidRPr="00BB306E">
        <w:rPr>
          <w:rFonts w:ascii="Times New Roman" w:hAnsi="Times New Roman" w:cs="Times New Roman"/>
          <w:sz w:val="20"/>
          <w:szCs w:val="20"/>
        </w:rPr>
        <w:t>In order to</w:t>
      </w:r>
      <w:r w:rsidR="003814C5" w:rsidRPr="00BB306E">
        <w:rPr>
          <w:rFonts w:ascii="Times New Roman" w:hAnsi="Times New Roman" w:cs="Times New Roman"/>
          <w:sz w:val="20"/>
          <w:szCs w:val="20"/>
        </w:rPr>
        <w:t xml:space="preserve"> continue receiving</w:t>
      </w:r>
      <w:r w:rsidR="00FF1A99" w:rsidRPr="00BB306E">
        <w:rPr>
          <w:rFonts w:ascii="Times New Roman" w:hAnsi="Times New Roman" w:cs="Times New Roman"/>
          <w:sz w:val="20"/>
          <w:szCs w:val="20"/>
        </w:rPr>
        <w:t xml:space="preserve"> the benefits of disclaimer clauses,</w:t>
      </w:r>
      <w:r w:rsidR="00AD31AF" w:rsidRPr="00BB306E">
        <w:rPr>
          <w:rFonts w:ascii="Times New Roman" w:hAnsi="Times New Roman" w:cs="Times New Roman"/>
          <w:sz w:val="20"/>
          <w:szCs w:val="20"/>
        </w:rPr>
        <w:t xml:space="preserve"> it</w:t>
      </w:r>
      <w:r w:rsidR="00FF1A99" w:rsidRPr="00BB306E">
        <w:rPr>
          <w:rFonts w:ascii="Times New Roman" w:hAnsi="Times New Roman" w:cs="Times New Roman"/>
          <w:sz w:val="20"/>
          <w:szCs w:val="20"/>
        </w:rPr>
        <w:t xml:space="preserve"> is likely advisable for arrangers to caref</w:t>
      </w:r>
      <w:r w:rsidR="003814C5" w:rsidRPr="00BB306E">
        <w:rPr>
          <w:rFonts w:ascii="Times New Roman" w:hAnsi="Times New Roman" w:cs="Times New Roman"/>
          <w:sz w:val="20"/>
          <w:szCs w:val="20"/>
        </w:rPr>
        <w:t>ully and clearly p</w:t>
      </w:r>
      <w:r w:rsidR="00FF1A99" w:rsidRPr="00BB306E">
        <w:rPr>
          <w:rFonts w:ascii="Times New Roman" w:hAnsi="Times New Roman" w:cs="Times New Roman"/>
          <w:sz w:val="20"/>
          <w:szCs w:val="20"/>
        </w:rPr>
        <w:t xml:space="preserve">hrase </w:t>
      </w:r>
      <w:r w:rsidR="003814C5" w:rsidRPr="00BB306E">
        <w:rPr>
          <w:rFonts w:ascii="Times New Roman" w:hAnsi="Times New Roman" w:cs="Times New Roman"/>
          <w:sz w:val="20"/>
          <w:szCs w:val="20"/>
        </w:rPr>
        <w:t>these provisions</w:t>
      </w:r>
      <w:r w:rsidR="00FF1A99" w:rsidRPr="00BB306E">
        <w:rPr>
          <w:rFonts w:ascii="Times New Roman" w:hAnsi="Times New Roman" w:cs="Times New Roman"/>
          <w:sz w:val="20"/>
          <w:szCs w:val="20"/>
        </w:rPr>
        <w:t xml:space="preserve"> in Informational Memoranda and maintain them to market standards. </w:t>
      </w:r>
      <w:r w:rsidR="00F97FEE" w:rsidRPr="00BB306E">
        <w:rPr>
          <w:rFonts w:ascii="Times New Roman" w:hAnsi="Times New Roman" w:cs="Times New Roman"/>
          <w:sz w:val="20"/>
          <w:szCs w:val="20"/>
        </w:rPr>
        <w:t xml:space="preserve"> </w:t>
      </w:r>
    </w:p>
    <w:sectPr w:rsidR="00F43E35" w:rsidRPr="00BB306E" w:rsidSect="001D7F94">
      <w:headerReference w:type="default" r:id="rId7"/>
      <w:pgSz w:w="11894" w:h="16834"/>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C43FD" w14:textId="77777777" w:rsidR="00B65458" w:rsidRDefault="00B65458" w:rsidP="004F3082">
      <w:r>
        <w:separator/>
      </w:r>
    </w:p>
  </w:endnote>
  <w:endnote w:type="continuationSeparator" w:id="0">
    <w:p w14:paraId="6F2537DF" w14:textId="77777777" w:rsidR="00B65458" w:rsidRDefault="00B65458" w:rsidP="004F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60CF4" w14:textId="77777777" w:rsidR="00B65458" w:rsidRDefault="00B65458" w:rsidP="004F3082">
      <w:r>
        <w:separator/>
      </w:r>
    </w:p>
  </w:footnote>
  <w:footnote w:type="continuationSeparator" w:id="0">
    <w:p w14:paraId="3E8D0093" w14:textId="77777777" w:rsidR="00B65458" w:rsidRDefault="00B65458" w:rsidP="004F3082">
      <w:r>
        <w:continuationSeparator/>
      </w:r>
    </w:p>
  </w:footnote>
  <w:footnote w:id="1">
    <w:p w14:paraId="7F5B1ADB" w14:textId="5DF0AA17"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hAnsi="Times New Roman" w:cs="Times New Roman"/>
          <w:i/>
          <w:sz w:val="20"/>
          <w:szCs w:val="20"/>
        </w:rPr>
        <w:t xml:space="preserve">See generally JP Morgan Chase Bank v. </w:t>
      </w:r>
      <w:proofErr w:type="spellStart"/>
      <w:r w:rsidRPr="005706F5">
        <w:rPr>
          <w:rFonts w:ascii="Times New Roman" w:hAnsi="Times New Roman" w:cs="Times New Roman"/>
          <w:i/>
          <w:sz w:val="20"/>
          <w:szCs w:val="20"/>
        </w:rPr>
        <w:t>Springwell</w:t>
      </w:r>
      <w:proofErr w:type="spellEnd"/>
      <w:r w:rsidRPr="005706F5">
        <w:rPr>
          <w:rFonts w:ascii="Times New Roman" w:hAnsi="Times New Roman" w:cs="Times New Roman"/>
          <w:i/>
          <w:sz w:val="20"/>
          <w:szCs w:val="20"/>
        </w:rPr>
        <w:t xml:space="preserve"> Navigation Corporation </w:t>
      </w:r>
      <w:r w:rsidRPr="005706F5">
        <w:rPr>
          <w:rFonts w:ascii="Times New Roman" w:hAnsi="Times New Roman" w:cs="Times New Roman"/>
          <w:sz w:val="20"/>
          <w:szCs w:val="20"/>
        </w:rPr>
        <w:t>[2008] EWHC 2848 (</w:t>
      </w:r>
      <w:proofErr w:type="spellStart"/>
      <w:r w:rsidRPr="005706F5">
        <w:rPr>
          <w:rFonts w:ascii="Times New Roman" w:hAnsi="Times New Roman" w:cs="Times New Roman"/>
          <w:sz w:val="20"/>
          <w:szCs w:val="20"/>
        </w:rPr>
        <w:t>Comm</w:t>
      </w:r>
      <w:proofErr w:type="spellEnd"/>
      <w:r w:rsidRPr="005706F5">
        <w:rPr>
          <w:rFonts w:ascii="Times New Roman" w:hAnsi="Times New Roman" w:cs="Times New Roman"/>
          <w:sz w:val="20"/>
          <w:szCs w:val="20"/>
        </w:rPr>
        <w:t xml:space="preserve">); </w:t>
      </w:r>
      <w:r w:rsidRPr="005706F5">
        <w:rPr>
          <w:rFonts w:ascii="Times New Roman" w:hAnsi="Times New Roman" w:cs="Times New Roman"/>
          <w:i/>
          <w:sz w:val="20"/>
          <w:szCs w:val="20"/>
        </w:rPr>
        <w:t xml:space="preserve">JP Morgan Chase Bank v. Navigation Corporation </w:t>
      </w:r>
      <w:r w:rsidRPr="005706F5">
        <w:rPr>
          <w:rFonts w:ascii="Times New Roman" w:hAnsi="Times New Roman" w:cs="Times New Roman"/>
          <w:sz w:val="20"/>
          <w:szCs w:val="20"/>
        </w:rPr>
        <w:t>[2008] EWHC 1793 (</w:t>
      </w:r>
      <w:proofErr w:type="spellStart"/>
      <w:r w:rsidRPr="005706F5">
        <w:rPr>
          <w:rFonts w:ascii="Times New Roman" w:hAnsi="Times New Roman" w:cs="Times New Roman"/>
          <w:sz w:val="20"/>
          <w:szCs w:val="20"/>
        </w:rPr>
        <w:t>Comm</w:t>
      </w:r>
      <w:proofErr w:type="spellEnd"/>
      <w:r w:rsidRPr="005706F5">
        <w:rPr>
          <w:rFonts w:ascii="Times New Roman" w:hAnsi="Times New Roman" w:cs="Times New Roman"/>
          <w:sz w:val="20"/>
          <w:szCs w:val="20"/>
        </w:rPr>
        <w:t xml:space="preserve">); </w:t>
      </w:r>
      <w:proofErr w:type="spellStart"/>
      <w:r w:rsidRPr="005706F5">
        <w:rPr>
          <w:rFonts w:ascii="Times New Roman" w:hAnsi="Times New Roman" w:cs="Times New Roman"/>
          <w:i/>
          <w:sz w:val="20"/>
          <w:szCs w:val="20"/>
        </w:rPr>
        <w:t>S</w:t>
      </w:r>
      <w:r w:rsidRPr="005706F5">
        <w:rPr>
          <w:rFonts w:ascii="Times New Roman" w:eastAsia="Times New Roman" w:hAnsi="Times New Roman" w:cs="Times New Roman"/>
          <w:i/>
          <w:iCs/>
          <w:color w:val="333333"/>
          <w:sz w:val="20"/>
          <w:szCs w:val="20"/>
          <w:bdr w:val="none" w:sz="0" w:space="0" w:color="auto" w:frame="1"/>
          <w:shd w:val="clear" w:color="auto" w:fill="FFFFFF"/>
        </w:rPr>
        <w:t>pringwell</w:t>
      </w:r>
      <w:proofErr w:type="spellEnd"/>
      <w:r w:rsidRPr="005706F5">
        <w:rPr>
          <w:rFonts w:ascii="Times New Roman" w:eastAsia="Times New Roman" w:hAnsi="Times New Roman" w:cs="Times New Roman"/>
          <w:i/>
          <w:iCs/>
          <w:color w:val="333333"/>
          <w:sz w:val="20"/>
          <w:szCs w:val="20"/>
          <w:bdr w:val="none" w:sz="0" w:space="0" w:color="auto" w:frame="1"/>
          <w:shd w:val="clear" w:color="auto" w:fill="FFFFFF"/>
        </w:rPr>
        <w:t xml:space="preserve"> v JP Morgan Chase Bank </w:t>
      </w:r>
      <w:r w:rsidRPr="005706F5">
        <w:rPr>
          <w:rFonts w:ascii="Times New Roman" w:eastAsia="Times New Roman" w:hAnsi="Times New Roman" w:cs="Times New Roman"/>
          <w:color w:val="333333"/>
          <w:sz w:val="20"/>
          <w:szCs w:val="20"/>
          <w:shd w:val="clear" w:color="auto" w:fill="FFFFFF"/>
        </w:rPr>
        <w:t xml:space="preserve">[2010] EWCA </w:t>
      </w:r>
      <w:proofErr w:type="spellStart"/>
      <w:r w:rsidRPr="005706F5">
        <w:rPr>
          <w:rFonts w:ascii="Times New Roman" w:eastAsia="Times New Roman" w:hAnsi="Times New Roman" w:cs="Times New Roman"/>
          <w:color w:val="333333"/>
          <w:sz w:val="20"/>
          <w:szCs w:val="20"/>
          <w:shd w:val="clear" w:color="auto" w:fill="FFFFFF"/>
        </w:rPr>
        <w:t>Civ</w:t>
      </w:r>
      <w:proofErr w:type="spellEnd"/>
      <w:r w:rsidRPr="005706F5">
        <w:rPr>
          <w:rFonts w:ascii="Times New Roman" w:eastAsia="Times New Roman" w:hAnsi="Times New Roman" w:cs="Times New Roman"/>
          <w:color w:val="333333"/>
          <w:sz w:val="20"/>
          <w:szCs w:val="20"/>
          <w:shd w:val="clear" w:color="auto" w:fill="FFFFFF"/>
        </w:rPr>
        <w:t xml:space="preserve"> 1221; </w:t>
      </w:r>
      <w:r w:rsidRPr="005706F5">
        <w:rPr>
          <w:rFonts w:ascii="Times New Roman" w:eastAsia="Times New Roman" w:hAnsi="Times New Roman" w:cs="Times New Roman"/>
          <w:i/>
          <w:color w:val="333333"/>
          <w:sz w:val="20"/>
          <w:szCs w:val="20"/>
          <w:shd w:val="clear" w:color="auto" w:fill="FFFFFF"/>
        </w:rPr>
        <w:t xml:space="preserve">see also </w:t>
      </w:r>
      <w:r w:rsidRPr="005706F5">
        <w:rPr>
          <w:rFonts w:ascii="Times New Roman" w:eastAsia="Times New Roman" w:hAnsi="Times New Roman" w:cs="Times New Roman"/>
          <w:color w:val="333333"/>
          <w:sz w:val="20"/>
          <w:szCs w:val="20"/>
          <w:shd w:val="clear" w:color="auto" w:fill="FFFFFF"/>
        </w:rPr>
        <w:t xml:space="preserve">Walker, GA ; </w:t>
      </w:r>
      <w:r w:rsidRPr="005706F5">
        <w:rPr>
          <w:rFonts w:ascii="Times New Roman" w:eastAsia="Times New Roman" w:hAnsi="Times New Roman" w:cs="Times New Roman"/>
          <w:i/>
          <w:color w:val="333333"/>
          <w:sz w:val="20"/>
          <w:szCs w:val="20"/>
          <w:shd w:val="clear" w:color="auto" w:fill="FFFFFF"/>
        </w:rPr>
        <w:t xml:space="preserve">see also </w:t>
      </w:r>
      <w:r w:rsidRPr="005706F5">
        <w:rPr>
          <w:rFonts w:ascii="Times New Roman" w:eastAsia="Times New Roman" w:hAnsi="Times New Roman" w:cs="Times New Roman"/>
          <w:color w:val="333333"/>
          <w:sz w:val="20"/>
          <w:szCs w:val="20"/>
          <w:shd w:val="clear" w:color="auto" w:fill="FFFFFF"/>
        </w:rPr>
        <w:t>available at, http://www.jonesday.com/files/Publication/409632ec-509a-4a96-8d16-8e173c9bdf97/Presentation/PublicationAttachment/c8838d5b-7889-4fd2-8731-a94dde7b66f8/JPMorganChase%20v%20SpringwellNavigation%20P2.pdf</w:t>
      </w:r>
    </w:p>
  </w:footnote>
  <w:footnote w:id="2">
    <w:p w14:paraId="43C39C6C" w14:textId="77777777" w:rsidR="00B91F66" w:rsidRPr="005706F5" w:rsidRDefault="00B91F66" w:rsidP="00B91F66">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Walker, GA “International Finance Markets,”</w:t>
      </w:r>
      <w:r w:rsidRPr="005706F5">
        <w:rPr>
          <w:rFonts w:ascii="Times New Roman" w:hAnsi="Times New Roman" w:cs="Times New Roman"/>
          <w:smallCaps/>
          <w:sz w:val="20"/>
          <w:szCs w:val="20"/>
        </w:rPr>
        <w:t xml:space="preserve"> </w:t>
      </w:r>
      <w:r w:rsidRPr="005706F5">
        <w:rPr>
          <w:rFonts w:ascii="Times New Roman" w:hAnsi="Times New Roman" w:cs="Times New Roman"/>
          <w:sz w:val="20"/>
          <w:szCs w:val="20"/>
          <w:u w:val="single"/>
        </w:rPr>
        <w:t>Introduction to international Finance Law and Practice</w:t>
      </w:r>
      <w:r w:rsidRPr="005706F5">
        <w:rPr>
          <w:rFonts w:ascii="Times New Roman" w:hAnsi="Times New Roman" w:cs="Times New Roman"/>
          <w:b/>
          <w:bCs/>
          <w:sz w:val="20"/>
          <w:szCs w:val="20"/>
        </w:rPr>
        <w:t xml:space="preserve"> </w:t>
      </w:r>
      <w:r w:rsidRPr="005706F5">
        <w:rPr>
          <w:rFonts w:ascii="Times New Roman" w:hAnsi="Times New Roman" w:cs="Times New Roman"/>
          <w:sz w:val="20"/>
          <w:szCs w:val="20"/>
        </w:rPr>
        <w:t xml:space="preserve">(forthcoming).  </w:t>
      </w:r>
    </w:p>
  </w:footnote>
  <w:footnote w:id="3">
    <w:p w14:paraId="4254B393" w14:textId="77777777" w:rsidR="00B91F66" w:rsidRPr="005706F5" w:rsidRDefault="00B91F66" w:rsidP="00B91F66">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Walker, GA, “Lead Bank and Agent Bank Liability,” </w:t>
      </w:r>
      <w:r w:rsidRPr="005706F5">
        <w:rPr>
          <w:rFonts w:ascii="Times New Roman" w:hAnsi="Times New Roman" w:cs="Times New Roman"/>
          <w:sz w:val="20"/>
          <w:szCs w:val="20"/>
          <w:u w:val="single"/>
        </w:rPr>
        <w:t>Introduction to international Finance Law and Practice</w:t>
      </w:r>
      <w:r w:rsidRPr="005706F5">
        <w:rPr>
          <w:rFonts w:ascii="Times New Roman" w:hAnsi="Times New Roman" w:cs="Times New Roman"/>
          <w:b/>
          <w:bCs/>
          <w:sz w:val="20"/>
          <w:szCs w:val="20"/>
        </w:rPr>
        <w:t xml:space="preserve"> </w:t>
      </w:r>
      <w:r w:rsidRPr="005706F5">
        <w:rPr>
          <w:rFonts w:ascii="Times New Roman" w:hAnsi="Times New Roman" w:cs="Times New Roman"/>
          <w:sz w:val="20"/>
          <w:szCs w:val="20"/>
        </w:rPr>
        <w:t xml:space="preserve">(forthcoming).  </w:t>
      </w:r>
    </w:p>
  </w:footnote>
  <w:footnote w:id="4">
    <w:p w14:paraId="4679EE29" w14:textId="77777777" w:rsidR="00B91F66" w:rsidRPr="005706F5" w:rsidRDefault="00B91F66" w:rsidP="00B91F66">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Ibid.</w:t>
      </w:r>
    </w:p>
  </w:footnote>
  <w:footnote w:id="5">
    <w:p w14:paraId="4EB279FA" w14:textId="77777777" w:rsidR="00B91F66" w:rsidRPr="005706F5" w:rsidRDefault="00B91F66" w:rsidP="00B91F66">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Ibid. </w:t>
      </w:r>
    </w:p>
  </w:footnote>
  <w:footnote w:id="6">
    <w:p w14:paraId="4DC61A8B" w14:textId="141943FD"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hAnsi="Times New Roman" w:cs="Times New Roman"/>
          <w:i/>
          <w:sz w:val="20"/>
          <w:szCs w:val="20"/>
        </w:rPr>
        <w:t>IFE Fund SA v. Goldman Sachs International</w:t>
      </w:r>
      <w:r w:rsidRPr="005706F5">
        <w:rPr>
          <w:rFonts w:ascii="Times New Roman" w:hAnsi="Times New Roman" w:cs="Times New Roman"/>
          <w:sz w:val="20"/>
          <w:szCs w:val="20"/>
        </w:rPr>
        <w:t xml:space="preserve"> [2007] EWCA </w:t>
      </w:r>
      <w:proofErr w:type="spellStart"/>
      <w:r w:rsidRPr="005706F5">
        <w:rPr>
          <w:rFonts w:ascii="Times New Roman" w:hAnsi="Times New Roman" w:cs="Times New Roman"/>
          <w:sz w:val="20"/>
          <w:szCs w:val="20"/>
        </w:rPr>
        <w:t>Civ</w:t>
      </w:r>
      <w:proofErr w:type="spellEnd"/>
      <w:r w:rsidRPr="005706F5">
        <w:rPr>
          <w:rFonts w:ascii="Times New Roman" w:hAnsi="Times New Roman" w:cs="Times New Roman"/>
          <w:sz w:val="20"/>
          <w:szCs w:val="20"/>
        </w:rPr>
        <w:t xml:space="preserve"> 811 (CA), para. 106, 28, 34.</w:t>
      </w:r>
    </w:p>
  </w:footnote>
  <w:footnote w:id="7">
    <w:p w14:paraId="104285A4" w14:textId="67A1AFB5"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See </w:t>
      </w:r>
      <w:r w:rsidRPr="005706F5">
        <w:rPr>
          <w:rFonts w:ascii="Times New Roman" w:hAnsi="Times New Roman" w:cs="Times New Roman"/>
          <w:i/>
          <w:sz w:val="20"/>
          <w:szCs w:val="20"/>
        </w:rPr>
        <w:t>IFE Fund SA v. Goldman Sachs International</w:t>
      </w:r>
      <w:r w:rsidRPr="005706F5">
        <w:rPr>
          <w:rFonts w:ascii="Times New Roman" w:hAnsi="Times New Roman" w:cs="Times New Roman"/>
          <w:sz w:val="20"/>
          <w:szCs w:val="20"/>
        </w:rPr>
        <w:t xml:space="preserve"> [2006] EWHC 2887 (</w:t>
      </w:r>
      <w:proofErr w:type="spellStart"/>
      <w:r w:rsidRPr="005706F5">
        <w:rPr>
          <w:rFonts w:ascii="Times New Roman" w:hAnsi="Times New Roman" w:cs="Times New Roman"/>
          <w:sz w:val="20"/>
          <w:szCs w:val="20"/>
        </w:rPr>
        <w:t>Comm</w:t>
      </w:r>
      <w:proofErr w:type="spellEnd"/>
      <w:r w:rsidRPr="005706F5">
        <w:rPr>
          <w:rFonts w:ascii="Times New Roman" w:hAnsi="Times New Roman" w:cs="Times New Roman"/>
          <w:sz w:val="20"/>
          <w:szCs w:val="20"/>
        </w:rPr>
        <w:t>).</w:t>
      </w:r>
    </w:p>
  </w:footnote>
  <w:footnote w:id="8">
    <w:p w14:paraId="19246D4A" w14:textId="77777777" w:rsidR="00B65458" w:rsidRPr="005706F5" w:rsidRDefault="00B65458" w:rsidP="00690ACF">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[2007] EWCA </w:t>
      </w:r>
      <w:proofErr w:type="spellStart"/>
      <w:r w:rsidRPr="005706F5">
        <w:rPr>
          <w:rFonts w:ascii="Times New Roman" w:hAnsi="Times New Roman" w:cs="Times New Roman"/>
          <w:sz w:val="20"/>
          <w:szCs w:val="20"/>
        </w:rPr>
        <w:t>Civ</w:t>
      </w:r>
      <w:proofErr w:type="spellEnd"/>
      <w:r w:rsidRPr="005706F5">
        <w:rPr>
          <w:rFonts w:ascii="Times New Roman" w:hAnsi="Times New Roman" w:cs="Times New Roman"/>
          <w:sz w:val="20"/>
          <w:szCs w:val="20"/>
        </w:rPr>
        <w:t xml:space="preserve"> 811 (CA) 137. </w:t>
      </w:r>
    </w:p>
  </w:footnote>
  <w:footnote w:id="9">
    <w:p w14:paraId="7FAFAD50" w14:textId="77777777" w:rsidR="00B65458" w:rsidRPr="005706F5" w:rsidRDefault="00B65458" w:rsidP="004414D0">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1</w:t>
      </w:r>
    </w:p>
  </w:footnote>
  <w:footnote w:id="10">
    <w:p w14:paraId="43009D50" w14:textId="77777777" w:rsidR="00B65458" w:rsidRPr="005706F5" w:rsidRDefault="00B65458" w:rsidP="005014D9">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[2007] para 2</w:t>
      </w:r>
    </w:p>
  </w:footnote>
  <w:footnote w:id="11">
    <w:p w14:paraId="778BF9C1" w14:textId="7671D1E9" w:rsidR="00B65458" w:rsidRPr="005706F5" w:rsidRDefault="00B65458" w:rsidP="000065B9">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40 (in part, the Notice stated, “The Arranger has not independently verified the information set out in this Memorandum. Accordingly, no representation, warranty or undertaking […] is made…” and “The Arranger expressly does not undertake to review the financial condition […] of Auto[dis], </w:t>
      </w:r>
      <w:proofErr w:type="spellStart"/>
      <w:r w:rsidRPr="005706F5">
        <w:rPr>
          <w:rFonts w:ascii="Times New Roman" w:hAnsi="Times New Roman" w:cs="Times New Roman"/>
          <w:sz w:val="20"/>
          <w:szCs w:val="20"/>
        </w:rPr>
        <w:t>Finelist</w:t>
      </w:r>
      <w:proofErr w:type="spellEnd"/>
      <w:r w:rsidRPr="005706F5">
        <w:rPr>
          <w:rFonts w:ascii="Times New Roman" w:hAnsi="Times New Roman" w:cs="Times New Roman"/>
          <w:sz w:val="20"/>
          <w:szCs w:val="20"/>
        </w:rPr>
        <w:t xml:space="preserve"> or any of their affiliates […] in respect of the facilities, at any time or to advise any potential or actual participant […] of any information coming to the attention of the Arranger”).</w:t>
      </w:r>
    </w:p>
  </w:footnote>
  <w:footnote w:id="12">
    <w:p w14:paraId="4FF94824" w14:textId="4DD81C50" w:rsidR="00B65458" w:rsidRPr="005706F5" w:rsidRDefault="00B65458" w:rsidP="000065B9">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00B569B7">
        <w:rPr>
          <w:rFonts w:ascii="Times New Roman" w:hAnsi="Times New Roman" w:cs="Times New Roman"/>
          <w:sz w:val="20"/>
          <w:szCs w:val="20"/>
        </w:rPr>
        <w:t>[</w:t>
      </w:r>
      <w:r w:rsidRPr="005706F5">
        <w:rPr>
          <w:rFonts w:ascii="Times New Roman" w:hAnsi="Times New Roman" w:cs="Times New Roman"/>
          <w:sz w:val="20"/>
          <w:szCs w:val="20"/>
        </w:rPr>
        <w:t>2006</w:t>
      </w:r>
      <w:r w:rsidR="00B569B7">
        <w:rPr>
          <w:rFonts w:ascii="Times New Roman" w:hAnsi="Times New Roman" w:cs="Times New Roman"/>
          <w:sz w:val="20"/>
          <w:szCs w:val="20"/>
        </w:rPr>
        <w:t>]</w:t>
      </w:r>
      <w:r w:rsidRPr="005706F5">
        <w:rPr>
          <w:rFonts w:ascii="Times New Roman" w:hAnsi="Times New Roman" w:cs="Times New Roman"/>
          <w:sz w:val="20"/>
          <w:szCs w:val="20"/>
        </w:rPr>
        <w:t xml:space="preserve"> para 44-45</w:t>
      </w:r>
    </w:p>
  </w:footnote>
  <w:footnote w:id="13">
    <w:p w14:paraId="4EE0674A" w14:textId="77777777" w:rsidR="00B65458" w:rsidRPr="005706F5" w:rsidRDefault="00B65458" w:rsidP="000B6CA4">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[2007] EWCA </w:t>
      </w:r>
      <w:proofErr w:type="spellStart"/>
      <w:r w:rsidRPr="005706F5">
        <w:rPr>
          <w:rFonts w:ascii="Times New Roman" w:hAnsi="Times New Roman" w:cs="Times New Roman"/>
          <w:sz w:val="20"/>
          <w:szCs w:val="20"/>
        </w:rPr>
        <w:t>Civ</w:t>
      </w:r>
      <w:proofErr w:type="spellEnd"/>
      <w:r w:rsidRPr="005706F5">
        <w:rPr>
          <w:rFonts w:ascii="Times New Roman" w:hAnsi="Times New Roman" w:cs="Times New Roman"/>
          <w:sz w:val="20"/>
          <w:szCs w:val="20"/>
        </w:rPr>
        <w:t xml:space="preserve"> 811 (CA) 137. Citing </w:t>
      </w:r>
      <w:proofErr w:type="spellStart"/>
      <w:r w:rsidRPr="005706F5">
        <w:rPr>
          <w:rFonts w:ascii="Times New Roman" w:hAnsi="Times New Roman" w:cs="Times New Roman"/>
          <w:sz w:val="20"/>
          <w:szCs w:val="20"/>
        </w:rPr>
        <w:t>Toulson</w:t>
      </w:r>
      <w:proofErr w:type="spellEnd"/>
      <w:r w:rsidRPr="005706F5">
        <w:rPr>
          <w:rFonts w:ascii="Times New Roman" w:hAnsi="Times New Roman" w:cs="Times New Roman"/>
          <w:sz w:val="20"/>
          <w:szCs w:val="20"/>
        </w:rPr>
        <w:t xml:space="preserve"> J, </w:t>
      </w:r>
      <w:r w:rsidRPr="005706F5">
        <w:rPr>
          <w:rFonts w:ascii="Times New Roman" w:hAnsi="Times New Roman" w:cs="Times New Roman"/>
          <w:i/>
          <w:sz w:val="20"/>
          <w:szCs w:val="20"/>
        </w:rPr>
        <w:t xml:space="preserve">IFE Fund SA v. Goldman Sachs International </w:t>
      </w:r>
      <w:r w:rsidRPr="005706F5">
        <w:rPr>
          <w:rFonts w:ascii="Times New Roman" w:hAnsi="Times New Roman" w:cs="Times New Roman"/>
          <w:sz w:val="20"/>
          <w:szCs w:val="20"/>
        </w:rPr>
        <w:t>[2006] EWHC 2887 (</w:t>
      </w:r>
      <w:proofErr w:type="spellStart"/>
      <w:r w:rsidRPr="005706F5">
        <w:rPr>
          <w:rFonts w:ascii="Times New Roman" w:hAnsi="Times New Roman" w:cs="Times New Roman"/>
          <w:sz w:val="20"/>
          <w:szCs w:val="20"/>
        </w:rPr>
        <w:t>Comm</w:t>
      </w:r>
      <w:proofErr w:type="spellEnd"/>
      <w:r w:rsidRPr="005706F5">
        <w:rPr>
          <w:rFonts w:ascii="Times New Roman" w:hAnsi="Times New Roman" w:cs="Times New Roman"/>
          <w:sz w:val="20"/>
          <w:szCs w:val="20"/>
        </w:rPr>
        <w:t>), para 77.</w:t>
      </w:r>
    </w:p>
  </w:footnote>
  <w:footnote w:id="14">
    <w:p w14:paraId="4D578E3F" w14:textId="2EF07BEC" w:rsidR="00B65458" w:rsidRPr="005706F5" w:rsidRDefault="00B65458" w:rsidP="000B6CA4">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00B569B7">
        <w:rPr>
          <w:rFonts w:ascii="Times New Roman" w:hAnsi="Times New Roman" w:cs="Times New Roman"/>
          <w:sz w:val="20"/>
          <w:szCs w:val="20"/>
        </w:rPr>
        <w:t>Ibid.</w:t>
      </w:r>
    </w:p>
  </w:footnote>
  <w:footnote w:id="15">
    <w:p w14:paraId="4E20B417" w14:textId="77777777" w:rsidR="00B65458" w:rsidRPr="005706F5" w:rsidRDefault="00B65458" w:rsidP="004C09D3">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2; [2007] EWCA </w:t>
      </w:r>
      <w:proofErr w:type="spellStart"/>
      <w:r w:rsidRPr="005706F5">
        <w:rPr>
          <w:rFonts w:ascii="Times New Roman" w:hAnsi="Times New Roman" w:cs="Times New Roman"/>
          <w:sz w:val="20"/>
          <w:szCs w:val="20"/>
        </w:rPr>
        <w:t>Civ</w:t>
      </w:r>
      <w:proofErr w:type="spellEnd"/>
      <w:r w:rsidRPr="005706F5">
        <w:rPr>
          <w:rFonts w:ascii="Times New Roman" w:hAnsi="Times New Roman" w:cs="Times New Roman"/>
          <w:sz w:val="20"/>
          <w:szCs w:val="20"/>
        </w:rPr>
        <w:t xml:space="preserve"> 811 (CA) 143, 147. </w:t>
      </w:r>
    </w:p>
  </w:footnote>
  <w:footnote w:id="16">
    <w:p w14:paraId="040C6240" w14:textId="6B2187E9" w:rsidR="00B65458" w:rsidRPr="005706F5" w:rsidRDefault="00B65458" w:rsidP="004C09D3">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00B569B7">
        <w:rPr>
          <w:rFonts w:ascii="Times New Roman" w:hAnsi="Times New Roman" w:cs="Times New Roman"/>
          <w:sz w:val="20"/>
          <w:szCs w:val="20"/>
        </w:rPr>
        <w:t xml:space="preserve"> Ibid.</w:t>
      </w:r>
      <w:r w:rsidRPr="005706F5">
        <w:rPr>
          <w:rFonts w:ascii="Times New Roman" w:hAnsi="Times New Roman" w:cs="Times New Roman"/>
          <w:sz w:val="20"/>
          <w:szCs w:val="20"/>
        </w:rPr>
        <w:t xml:space="preserve"> </w:t>
      </w:r>
    </w:p>
  </w:footnote>
  <w:footnote w:id="17">
    <w:p w14:paraId="3F6BE97F" w14:textId="517907C3"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60</w:t>
      </w:r>
    </w:p>
  </w:footnote>
  <w:footnote w:id="18">
    <w:p w14:paraId="05C3579E" w14:textId="7EA37865" w:rsidR="00B65458" w:rsidRPr="005706F5" w:rsidRDefault="00B65458" w:rsidP="00777E97">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hAnsi="Times New Roman" w:cs="Times New Roman"/>
          <w:bCs/>
          <w:sz w:val="20"/>
          <w:szCs w:val="20"/>
        </w:rPr>
        <w:t xml:space="preserve">Va. L. Rev. (1978) </w:t>
      </w:r>
      <w:r w:rsidRPr="005706F5">
        <w:rPr>
          <w:rFonts w:ascii="Times New Roman" w:hAnsi="Times New Roman" w:cs="Times New Roman"/>
          <w:sz w:val="20"/>
          <w:szCs w:val="20"/>
        </w:rPr>
        <w:t>at 898.</w:t>
      </w:r>
    </w:p>
  </w:footnote>
  <w:footnote w:id="19">
    <w:p w14:paraId="04F986DF" w14:textId="1CB144B4"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61</w:t>
      </w:r>
    </w:p>
  </w:footnote>
  <w:footnote w:id="20">
    <w:p w14:paraId="226FFB42" w14:textId="41CE4B2B"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71</w:t>
      </w:r>
    </w:p>
  </w:footnote>
  <w:footnote w:id="21">
    <w:p w14:paraId="21DABF4E" w14:textId="1BDD470C"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69, 71.</w:t>
      </w:r>
    </w:p>
  </w:footnote>
  <w:footnote w:id="22">
    <w:p w14:paraId="5FAB23DF" w14:textId="77777777" w:rsidR="00B65458" w:rsidRPr="005706F5" w:rsidRDefault="00B65458" w:rsidP="00E51F89">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2007 para 28, 34</w:t>
      </w:r>
    </w:p>
  </w:footnote>
  <w:footnote w:id="23">
    <w:p w14:paraId="3F13B7DB" w14:textId="3C3267D9"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60; 2007 para 74, 78. </w:t>
      </w:r>
    </w:p>
  </w:footnote>
  <w:footnote w:id="24">
    <w:p w14:paraId="0999E4FE" w14:textId="57E05A34"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The parties settled before a final ruling on the merits. </w:t>
      </w:r>
      <w:r w:rsidRPr="005706F5">
        <w:rPr>
          <w:rFonts w:ascii="Times New Roman" w:hAnsi="Times New Roman" w:cs="Times New Roman"/>
          <w:i/>
          <w:sz w:val="20"/>
          <w:szCs w:val="20"/>
        </w:rPr>
        <w:t xml:space="preserve">See </w:t>
      </w:r>
      <w:r w:rsidRPr="005706F5">
        <w:rPr>
          <w:rFonts w:ascii="Times New Roman" w:hAnsi="Times New Roman" w:cs="Times New Roman"/>
          <w:bCs/>
          <w:i/>
          <w:sz w:val="20"/>
          <w:szCs w:val="20"/>
        </w:rPr>
        <w:t>Virginia Law Review</w:t>
      </w:r>
      <w:r w:rsidRPr="005706F5">
        <w:rPr>
          <w:rFonts w:ascii="Times New Roman" w:hAnsi="Times New Roman" w:cs="Times New Roman"/>
          <w:bCs/>
          <w:sz w:val="20"/>
          <w:szCs w:val="20"/>
        </w:rPr>
        <w:t xml:space="preserve"> 64</w:t>
      </w:r>
    </w:p>
  </w:footnote>
  <w:footnote w:id="25">
    <w:p w14:paraId="127B37D9" w14:textId="77777777" w:rsidR="00B65458" w:rsidRPr="005706F5" w:rsidRDefault="00B65458" w:rsidP="007A576E">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2006 para 54, </w:t>
      </w:r>
      <w:r w:rsidRPr="005706F5">
        <w:rPr>
          <w:rFonts w:ascii="Times New Roman" w:hAnsi="Times New Roman" w:cs="Times New Roman"/>
          <w:i/>
          <w:sz w:val="20"/>
          <w:szCs w:val="20"/>
        </w:rPr>
        <w:t xml:space="preserve">see also </w:t>
      </w:r>
      <w:r w:rsidRPr="005706F5">
        <w:rPr>
          <w:rFonts w:ascii="Times New Roman" w:hAnsi="Times New Roman" w:cs="Times New Roman"/>
          <w:sz w:val="20"/>
          <w:szCs w:val="20"/>
        </w:rPr>
        <w:t>para 59.</w:t>
      </w:r>
    </w:p>
  </w:footnote>
  <w:footnote w:id="26">
    <w:p w14:paraId="1C1A2EBD" w14:textId="77777777" w:rsidR="00B65458" w:rsidRPr="005706F5" w:rsidRDefault="00B65458" w:rsidP="007A576E">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hAnsi="Times New Roman" w:cs="Times New Roman"/>
          <w:i/>
          <w:sz w:val="20"/>
          <w:szCs w:val="20"/>
        </w:rPr>
        <w:t xml:space="preserve">See </w:t>
      </w:r>
      <w:r w:rsidRPr="005706F5">
        <w:rPr>
          <w:rFonts w:ascii="Times New Roman" w:hAnsi="Times New Roman" w:cs="Times New Roman"/>
          <w:sz w:val="20"/>
          <w:szCs w:val="20"/>
        </w:rPr>
        <w:t>2006 para 59, 63</w:t>
      </w:r>
    </w:p>
  </w:footnote>
  <w:footnote w:id="27">
    <w:p w14:paraId="45BE689D" w14:textId="669DEBC5"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Cf. </w:t>
      </w:r>
      <w:r w:rsidRPr="005706F5">
        <w:rPr>
          <w:rFonts w:ascii="Times New Roman" w:eastAsia="Times New Roman" w:hAnsi="Times New Roman" w:cs="Times New Roman"/>
          <w:i/>
          <w:iCs/>
          <w:sz w:val="20"/>
          <w:szCs w:val="20"/>
        </w:rPr>
        <w:t>Abu Dhabi Commercial Bank v. Morgan Stanley &amp; Co.</w:t>
      </w:r>
      <w:r w:rsidRPr="005706F5">
        <w:rPr>
          <w:rFonts w:ascii="Times New Roman" w:eastAsia="Times New Roman" w:hAnsi="Times New Roman" w:cs="Times New Roman"/>
          <w:sz w:val="20"/>
          <w:szCs w:val="20"/>
        </w:rPr>
        <w:t>, 651 F.Supp.2d 155, 170 (S.D.N.Y. 2009) (</w:t>
      </w:r>
      <w:r w:rsidRPr="005706F5">
        <w:rPr>
          <w:rFonts w:ascii="Times New Roman" w:eastAsia="Times New Roman" w:hAnsi="Times New Roman" w:cs="Times New Roman"/>
          <w:i/>
          <w:sz w:val="20"/>
          <w:szCs w:val="20"/>
        </w:rPr>
        <w:t xml:space="preserve">see also </w:t>
      </w:r>
      <w:r w:rsidRPr="005706F5">
        <w:rPr>
          <w:rFonts w:ascii="Times New Roman" w:eastAsia="Times New Roman" w:hAnsi="Times New Roman" w:cs="Times New Roman"/>
          <w:sz w:val="20"/>
          <w:szCs w:val="20"/>
        </w:rPr>
        <w:t xml:space="preserve">“Express Exclusion of Liability,” </w:t>
      </w:r>
      <w:proofErr w:type="spellStart"/>
      <w:r w:rsidRPr="005706F5">
        <w:rPr>
          <w:rFonts w:ascii="Times New Roman" w:eastAsia="Times New Roman" w:hAnsi="Times New Roman" w:cs="Times New Roman"/>
          <w:sz w:val="20"/>
          <w:szCs w:val="20"/>
        </w:rPr>
        <w:t>Encyclopaedia</w:t>
      </w:r>
      <w:proofErr w:type="spellEnd"/>
      <w:r w:rsidR="00B569B7">
        <w:rPr>
          <w:rFonts w:ascii="Times New Roman" w:eastAsia="Times New Roman" w:hAnsi="Times New Roman" w:cs="Times New Roman"/>
          <w:sz w:val="20"/>
          <w:szCs w:val="20"/>
        </w:rPr>
        <w:t xml:space="preserve"> of Banking Law, 5253</w:t>
      </w:r>
      <w:r w:rsidRPr="005706F5">
        <w:rPr>
          <w:rFonts w:ascii="Times New Roman" w:eastAsia="Times New Roman" w:hAnsi="Times New Roman" w:cs="Times New Roman"/>
          <w:sz w:val="20"/>
          <w:szCs w:val="20"/>
        </w:rPr>
        <w:t xml:space="preserve">). </w:t>
      </w:r>
    </w:p>
  </w:footnote>
  <w:footnote w:id="28">
    <w:p w14:paraId="0EC34852" w14:textId="5253EBD6" w:rsidR="00B65458" w:rsidRPr="005706F5" w:rsidRDefault="00B65458">
      <w:pPr>
        <w:pStyle w:val="FootnoteText"/>
        <w:rPr>
          <w:rFonts w:ascii="Times New Roman" w:hAnsi="Times New Roman" w:cs="Times New Roman"/>
          <w:bCs/>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hAnsi="Times New Roman" w:cs="Times New Roman"/>
          <w:i/>
          <w:sz w:val="20"/>
          <w:szCs w:val="20"/>
        </w:rPr>
        <w:t>See</w:t>
      </w:r>
      <w:r w:rsidRPr="005706F5">
        <w:rPr>
          <w:rFonts w:ascii="Times New Roman" w:hAnsi="Times New Roman" w:cs="Times New Roman"/>
          <w:sz w:val="20"/>
          <w:szCs w:val="20"/>
        </w:rPr>
        <w:t xml:space="preserve"> Sophie Hughes, “</w:t>
      </w:r>
      <w:r w:rsidRPr="005706F5">
        <w:rPr>
          <w:rFonts w:ascii="Times New Roman" w:hAnsi="Times New Roman" w:cs="Times New Roman"/>
          <w:bCs/>
          <w:sz w:val="20"/>
          <w:szCs w:val="20"/>
        </w:rPr>
        <w:t>Information memoranda — liabilities and</w:t>
      </w:r>
      <w:bookmarkStart w:id="1" w:name="ORIGHIT_2"/>
      <w:bookmarkStart w:id="2" w:name="HIT_2"/>
      <w:bookmarkEnd w:id="1"/>
      <w:bookmarkEnd w:id="2"/>
      <w:r w:rsidRPr="005706F5">
        <w:rPr>
          <w:rFonts w:ascii="Times New Roman" w:hAnsi="Times New Roman" w:cs="Times New Roman"/>
          <w:bCs/>
          <w:sz w:val="20"/>
          <w:szCs w:val="20"/>
        </w:rPr>
        <w:t xml:space="preserve"> disclaimers” (2007) 3 J.I.B.F.L. 166.</w:t>
      </w:r>
    </w:p>
  </w:footnote>
  <w:footnote w:id="29">
    <w:p w14:paraId="1DFA5F20" w14:textId="0F906BE3"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It does not appear the </w:t>
      </w:r>
      <w:r w:rsidRPr="005706F5">
        <w:rPr>
          <w:rFonts w:ascii="Times New Roman" w:hAnsi="Times New Roman" w:cs="Times New Roman"/>
          <w:i/>
          <w:sz w:val="20"/>
          <w:szCs w:val="20"/>
        </w:rPr>
        <w:t>IFE Court</w:t>
      </w:r>
      <w:r w:rsidRPr="005706F5">
        <w:rPr>
          <w:rFonts w:ascii="Times New Roman" w:hAnsi="Times New Roman" w:cs="Times New Roman"/>
          <w:sz w:val="20"/>
          <w:szCs w:val="20"/>
        </w:rPr>
        <w:t xml:space="preserve"> considered the disclaimer a limitation on liability which should be construed </w:t>
      </w:r>
      <w:r w:rsidRPr="005706F5">
        <w:rPr>
          <w:rFonts w:ascii="Times New Roman" w:hAnsi="Times New Roman" w:cs="Times New Roman"/>
          <w:i/>
          <w:sz w:val="20"/>
          <w:szCs w:val="20"/>
        </w:rPr>
        <w:t xml:space="preserve">contra </w:t>
      </w:r>
      <w:proofErr w:type="spellStart"/>
      <w:r w:rsidRPr="005706F5">
        <w:rPr>
          <w:rFonts w:ascii="Times New Roman" w:hAnsi="Times New Roman" w:cs="Times New Roman"/>
          <w:i/>
          <w:sz w:val="20"/>
          <w:szCs w:val="20"/>
        </w:rPr>
        <w:t>proferentem</w:t>
      </w:r>
      <w:proofErr w:type="spellEnd"/>
      <w:r w:rsidRPr="005706F5">
        <w:rPr>
          <w:rFonts w:ascii="Times New Roman" w:hAnsi="Times New Roman" w:cs="Times New Roman"/>
          <w:sz w:val="20"/>
          <w:szCs w:val="20"/>
        </w:rPr>
        <w:t xml:space="preserve">, nor an exclusion clause, which would be subject to reasonableness; this is somewhat surprising in light of the practical effect of the disclaimer. </w:t>
      </w:r>
    </w:p>
  </w:footnote>
  <w:footnote w:id="30">
    <w:p w14:paraId="2197A584" w14:textId="77777777" w:rsidR="00B65458" w:rsidRPr="005706F5" w:rsidRDefault="00B65458" w:rsidP="007A576E">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hAnsi="Times New Roman" w:cs="Times New Roman"/>
          <w:i/>
          <w:sz w:val="20"/>
          <w:szCs w:val="20"/>
        </w:rPr>
        <w:t xml:space="preserve">See JP Morgan Chase v. </w:t>
      </w:r>
      <w:proofErr w:type="spellStart"/>
      <w:r w:rsidRPr="005706F5">
        <w:rPr>
          <w:rFonts w:ascii="Times New Roman" w:hAnsi="Times New Roman" w:cs="Times New Roman"/>
          <w:i/>
          <w:sz w:val="20"/>
          <w:szCs w:val="20"/>
        </w:rPr>
        <w:t>Springwell</w:t>
      </w:r>
      <w:proofErr w:type="spellEnd"/>
      <w:r w:rsidRPr="005706F5">
        <w:rPr>
          <w:rFonts w:ascii="Times New Roman" w:hAnsi="Times New Roman" w:cs="Times New Roman"/>
          <w:sz w:val="20"/>
          <w:szCs w:val="20"/>
        </w:rPr>
        <w:t xml:space="preserve">; </w:t>
      </w:r>
      <w:r w:rsidRPr="005706F5">
        <w:rPr>
          <w:rFonts w:ascii="Times New Roman" w:hAnsi="Times New Roman" w:cs="Times New Roman"/>
          <w:i/>
          <w:sz w:val="20"/>
          <w:szCs w:val="20"/>
        </w:rPr>
        <w:t>see also</w:t>
      </w:r>
      <w:r w:rsidRPr="005706F5">
        <w:rPr>
          <w:rFonts w:ascii="Times New Roman" w:hAnsi="Times New Roman" w:cs="Times New Roman"/>
          <w:sz w:val="20"/>
          <w:szCs w:val="20"/>
        </w:rPr>
        <w:t xml:space="preserve"> Walker, GA, “Lead Bank and Agent Bank Liability,” </w:t>
      </w:r>
      <w:r w:rsidRPr="005706F5">
        <w:rPr>
          <w:rFonts w:ascii="Times New Roman" w:hAnsi="Times New Roman" w:cs="Times New Roman"/>
          <w:smallCaps/>
          <w:sz w:val="20"/>
          <w:szCs w:val="20"/>
        </w:rPr>
        <w:t>International Finance Law and Practice</w:t>
      </w:r>
      <w:r w:rsidRPr="005706F5">
        <w:rPr>
          <w:rFonts w:ascii="Times New Roman" w:hAnsi="Times New Roman" w:cs="Times New Roman"/>
          <w:b/>
          <w:bCs/>
          <w:sz w:val="20"/>
          <w:szCs w:val="20"/>
        </w:rPr>
        <w:t xml:space="preserve"> </w:t>
      </w:r>
      <w:r w:rsidRPr="005706F5">
        <w:rPr>
          <w:rFonts w:ascii="Times New Roman" w:hAnsi="Times New Roman" w:cs="Times New Roman"/>
          <w:sz w:val="20"/>
          <w:szCs w:val="20"/>
        </w:rPr>
        <w:t xml:space="preserve">(forthcoming).  </w:t>
      </w:r>
    </w:p>
  </w:footnote>
  <w:footnote w:id="31">
    <w:p w14:paraId="51B58E4C" w14:textId="77777777" w:rsidR="00B65458" w:rsidRPr="005706F5" w:rsidRDefault="00B65458" w:rsidP="007A576E">
      <w:pPr>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In dicta, one point of disagreement between the courts was whether the Informational Memo was a contract. </w:t>
      </w:r>
      <w:proofErr w:type="spellStart"/>
      <w:r w:rsidRPr="005706F5">
        <w:rPr>
          <w:rFonts w:ascii="Times New Roman" w:hAnsi="Times New Roman" w:cs="Times New Roman"/>
          <w:sz w:val="20"/>
          <w:szCs w:val="20"/>
        </w:rPr>
        <w:t>Toulson</w:t>
      </w:r>
      <w:proofErr w:type="spellEnd"/>
      <w:r w:rsidRPr="005706F5">
        <w:rPr>
          <w:rFonts w:ascii="Times New Roman" w:hAnsi="Times New Roman" w:cs="Times New Roman"/>
          <w:sz w:val="20"/>
          <w:szCs w:val="20"/>
        </w:rPr>
        <w:t xml:space="preserve"> J found that it was not a contract. (</w:t>
      </w:r>
      <w:proofErr w:type="gramStart"/>
      <w:r w:rsidRPr="005706F5">
        <w:rPr>
          <w:rFonts w:ascii="Times New Roman" w:hAnsi="Times New Roman" w:cs="Times New Roman"/>
          <w:sz w:val="20"/>
          <w:szCs w:val="20"/>
        </w:rPr>
        <w:t>para</w:t>
      </w:r>
      <w:proofErr w:type="gramEnd"/>
      <w:r w:rsidRPr="005706F5">
        <w:rPr>
          <w:rFonts w:ascii="Times New Roman" w:hAnsi="Times New Roman" w:cs="Times New Roman"/>
          <w:sz w:val="20"/>
          <w:szCs w:val="20"/>
        </w:rPr>
        <w:t xml:space="preserve"> 65). Gage LJ noted that it was a contract based on a reliance theory. (</w:t>
      </w:r>
      <w:proofErr w:type="gramStart"/>
      <w:r w:rsidRPr="005706F5">
        <w:rPr>
          <w:rFonts w:ascii="Times New Roman" w:hAnsi="Times New Roman" w:cs="Times New Roman"/>
          <w:sz w:val="20"/>
          <w:szCs w:val="20"/>
        </w:rPr>
        <w:t>para</w:t>
      </w:r>
      <w:proofErr w:type="gramEnd"/>
      <w:r w:rsidRPr="005706F5">
        <w:rPr>
          <w:rFonts w:ascii="Times New Roman" w:hAnsi="Times New Roman" w:cs="Times New Roman"/>
          <w:sz w:val="20"/>
          <w:szCs w:val="20"/>
        </w:rPr>
        <w:t xml:space="preserve"> 52).</w:t>
      </w:r>
    </w:p>
  </w:footnote>
  <w:footnote w:id="32">
    <w:p w14:paraId="27C3FFDD" w14:textId="281F29D9"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proofErr w:type="spellStart"/>
      <w:r w:rsidRPr="005706F5">
        <w:rPr>
          <w:rFonts w:ascii="Times New Roman" w:hAnsi="Times New Roman" w:cs="Times New Roman"/>
          <w:i/>
          <w:sz w:val="20"/>
          <w:szCs w:val="20"/>
        </w:rPr>
        <w:t>Peekay</w:t>
      </w:r>
      <w:proofErr w:type="spellEnd"/>
      <w:r w:rsidRPr="005706F5">
        <w:rPr>
          <w:rFonts w:ascii="Times New Roman" w:hAnsi="Times New Roman" w:cs="Times New Roman"/>
          <w:i/>
          <w:sz w:val="20"/>
          <w:szCs w:val="20"/>
        </w:rPr>
        <w:t xml:space="preserve"> </w:t>
      </w:r>
      <w:proofErr w:type="spellStart"/>
      <w:r w:rsidRPr="005706F5">
        <w:rPr>
          <w:rFonts w:ascii="Times New Roman" w:hAnsi="Times New Roman" w:cs="Times New Roman"/>
          <w:i/>
          <w:sz w:val="20"/>
          <w:szCs w:val="20"/>
        </w:rPr>
        <w:t>Intermark</w:t>
      </w:r>
      <w:proofErr w:type="spellEnd"/>
      <w:r w:rsidRPr="005706F5">
        <w:rPr>
          <w:rFonts w:ascii="Times New Roman" w:hAnsi="Times New Roman" w:cs="Times New Roman"/>
          <w:i/>
          <w:sz w:val="20"/>
          <w:szCs w:val="20"/>
        </w:rPr>
        <w:t xml:space="preserve"> Ltd v. Australia and New Zealand Banking Group Ltd</w:t>
      </w:r>
      <w:r w:rsidRPr="005706F5">
        <w:rPr>
          <w:rFonts w:ascii="Times New Roman" w:hAnsi="Times New Roman" w:cs="Times New Roman"/>
          <w:sz w:val="20"/>
          <w:szCs w:val="20"/>
        </w:rPr>
        <w:t xml:space="preserve"> [2006] EWCA </w:t>
      </w:r>
      <w:proofErr w:type="spellStart"/>
      <w:r w:rsidRPr="005706F5">
        <w:rPr>
          <w:rFonts w:ascii="Times New Roman" w:hAnsi="Times New Roman" w:cs="Times New Roman"/>
          <w:sz w:val="20"/>
          <w:szCs w:val="20"/>
        </w:rPr>
        <w:t>Civ</w:t>
      </w:r>
      <w:proofErr w:type="spellEnd"/>
      <w:r w:rsidRPr="005706F5">
        <w:rPr>
          <w:rFonts w:ascii="Times New Roman" w:hAnsi="Times New Roman" w:cs="Times New Roman"/>
          <w:sz w:val="20"/>
          <w:szCs w:val="20"/>
        </w:rPr>
        <w:t xml:space="preserve"> 386 (CA).</w:t>
      </w:r>
    </w:p>
  </w:footnote>
  <w:footnote w:id="33">
    <w:p w14:paraId="29BFDCE8" w14:textId="3957AD8B" w:rsidR="00B65458" w:rsidRPr="005706F5" w:rsidRDefault="00B65458" w:rsidP="00245257">
      <w:pPr>
        <w:rPr>
          <w:rFonts w:ascii="Times New Roman" w:eastAsia="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See</w:t>
      </w:r>
      <w:r w:rsidRPr="005706F5">
        <w:rPr>
          <w:rFonts w:ascii="Times New Roman" w:hAnsi="Times New Roman" w:cs="Times New Roman"/>
          <w:i/>
          <w:sz w:val="20"/>
          <w:szCs w:val="20"/>
        </w:rPr>
        <w:t xml:space="preserve"> </w:t>
      </w:r>
      <w:proofErr w:type="spellStart"/>
      <w:r w:rsidRPr="005706F5">
        <w:rPr>
          <w:rFonts w:ascii="Times New Roman" w:hAnsi="Times New Roman" w:cs="Times New Roman"/>
          <w:i/>
          <w:sz w:val="20"/>
          <w:szCs w:val="20"/>
        </w:rPr>
        <w:t>S</w:t>
      </w:r>
      <w:r w:rsidRPr="005706F5">
        <w:rPr>
          <w:rFonts w:ascii="Times New Roman" w:eastAsia="Times New Roman" w:hAnsi="Times New Roman" w:cs="Times New Roman"/>
          <w:i/>
          <w:iCs/>
          <w:color w:val="333333"/>
          <w:sz w:val="20"/>
          <w:szCs w:val="20"/>
          <w:bdr w:val="none" w:sz="0" w:space="0" w:color="auto" w:frame="1"/>
          <w:shd w:val="clear" w:color="auto" w:fill="FFFFFF"/>
        </w:rPr>
        <w:t>pringwell</w:t>
      </w:r>
      <w:proofErr w:type="spellEnd"/>
      <w:r w:rsidRPr="005706F5">
        <w:rPr>
          <w:rFonts w:ascii="Times New Roman" w:eastAsia="Times New Roman" w:hAnsi="Times New Roman" w:cs="Times New Roman"/>
          <w:i/>
          <w:iCs/>
          <w:color w:val="333333"/>
          <w:sz w:val="20"/>
          <w:szCs w:val="20"/>
          <w:bdr w:val="none" w:sz="0" w:space="0" w:color="auto" w:frame="1"/>
          <w:shd w:val="clear" w:color="auto" w:fill="FFFFFF"/>
        </w:rPr>
        <w:t xml:space="preserve"> v JP Morgan Chase Bank </w:t>
      </w:r>
      <w:r w:rsidRPr="005706F5">
        <w:rPr>
          <w:rFonts w:ascii="Times New Roman" w:eastAsia="Times New Roman" w:hAnsi="Times New Roman" w:cs="Times New Roman"/>
          <w:color w:val="333333"/>
          <w:sz w:val="20"/>
          <w:szCs w:val="20"/>
          <w:shd w:val="clear" w:color="auto" w:fill="FFFFFF"/>
        </w:rPr>
        <w:t xml:space="preserve">[2010] EWCA </w:t>
      </w:r>
      <w:proofErr w:type="spellStart"/>
      <w:r w:rsidRPr="005706F5">
        <w:rPr>
          <w:rFonts w:ascii="Times New Roman" w:eastAsia="Times New Roman" w:hAnsi="Times New Roman" w:cs="Times New Roman"/>
          <w:color w:val="333333"/>
          <w:sz w:val="20"/>
          <w:szCs w:val="20"/>
          <w:shd w:val="clear" w:color="auto" w:fill="FFFFFF"/>
        </w:rPr>
        <w:t>Civ</w:t>
      </w:r>
      <w:proofErr w:type="spellEnd"/>
      <w:r w:rsidRPr="005706F5">
        <w:rPr>
          <w:rFonts w:ascii="Times New Roman" w:eastAsia="Times New Roman" w:hAnsi="Times New Roman" w:cs="Times New Roman"/>
          <w:color w:val="333333"/>
          <w:sz w:val="20"/>
          <w:szCs w:val="20"/>
          <w:shd w:val="clear" w:color="auto" w:fill="FFFFFF"/>
        </w:rPr>
        <w:t xml:space="preserve"> 1221 at para. 143 – 144.</w:t>
      </w:r>
    </w:p>
  </w:footnote>
  <w:footnote w:id="34">
    <w:p w14:paraId="004B38C2" w14:textId="0018B380"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GKOs are a series of bonds issued by the Russian government in the later 1990s. </w:t>
      </w:r>
    </w:p>
  </w:footnote>
  <w:footnote w:id="35">
    <w:p w14:paraId="18121267" w14:textId="482E2203" w:rsidR="00B65458" w:rsidRPr="005706F5" w:rsidRDefault="00B65458" w:rsidP="00C3097F">
      <w:pPr>
        <w:widowControl w:val="0"/>
        <w:autoSpaceDE w:val="0"/>
        <w:autoSpaceDN w:val="0"/>
        <w:adjustRightInd w:val="0"/>
        <w:spacing w:after="240"/>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00B569B7">
        <w:rPr>
          <w:rFonts w:ascii="Times New Roman" w:hAnsi="Times New Roman" w:cs="Times New Roman"/>
          <w:sz w:val="20"/>
          <w:szCs w:val="20"/>
        </w:rPr>
        <w:t>See the full warning at para 14.</w:t>
      </w:r>
    </w:p>
  </w:footnote>
  <w:footnote w:id="36">
    <w:p w14:paraId="36DB751D" w14:textId="368497FA"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00B569B7">
        <w:rPr>
          <w:rFonts w:ascii="Times New Roman" w:hAnsi="Times New Roman" w:cs="Times New Roman"/>
          <w:sz w:val="20"/>
          <w:szCs w:val="20"/>
        </w:rPr>
        <w:t>Ibid. at para</w:t>
      </w:r>
      <w:r w:rsidRPr="005706F5">
        <w:rPr>
          <w:rFonts w:ascii="Times New Roman" w:hAnsi="Times New Roman" w:cs="Times New Roman"/>
          <w:sz w:val="20"/>
          <w:szCs w:val="20"/>
        </w:rPr>
        <w:t xml:space="preserve"> 16</w:t>
      </w:r>
      <w:r w:rsidR="00B569B7">
        <w:rPr>
          <w:rFonts w:ascii="Times New Roman" w:hAnsi="Times New Roman" w:cs="Times New Roman"/>
          <w:sz w:val="20"/>
          <w:szCs w:val="20"/>
        </w:rPr>
        <w:t>.</w:t>
      </w:r>
    </w:p>
  </w:footnote>
  <w:footnote w:id="37">
    <w:p w14:paraId="77802D1D" w14:textId="03EA2FC1"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00B569B7">
        <w:rPr>
          <w:rFonts w:ascii="Times New Roman" w:hAnsi="Times New Roman" w:cs="Times New Roman"/>
          <w:sz w:val="20"/>
          <w:szCs w:val="20"/>
        </w:rPr>
        <w:t>Ibid</w:t>
      </w:r>
      <w:r w:rsidRPr="005706F5">
        <w:rPr>
          <w:rFonts w:ascii="Times New Roman" w:hAnsi="Times New Roman" w:cs="Times New Roman"/>
          <w:sz w:val="20"/>
          <w:szCs w:val="20"/>
        </w:rPr>
        <w:t xml:space="preserve"> 22 – 23.</w:t>
      </w:r>
    </w:p>
  </w:footnote>
  <w:footnote w:id="38">
    <w:p w14:paraId="4495AF22" w14:textId="2FDB579D" w:rsidR="00B65458" w:rsidRPr="005706F5" w:rsidRDefault="00B65458" w:rsidP="002B0CF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00B569B7">
        <w:rPr>
          <w:rFonts w:ascii="Times New Roman" w:hAnsi="Times New Roman" w:cs="Times New Roman"/>
          <w:sz w:val="20"/>
          <w:szCs w:val="20"/>
        </w:rPr>
        <w:t>Ibid</w:t>
      </w:r>
      <w:r w:rsidRPr="005706F5">
        <w:rPr>
          <w:rFonts w:ascii="Times New Roman" w:hAnsi="Times New Roman" w:cs="Times New Roman"/>
          <w:sz w:val="20"/>
          <w:szCs w:val="20"/>
        </w:rPr>
        <w:t xml:space="preserve"> 53.</w:t>
      </w:r>
    </w:p>
  </w:footnote>
  <w:footnote w:id="39">
    <w:p w14:paraId="29B668B0" w14:textId="38BB4D0F"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Para 46.</w:t>
      </w:r>
    </w:p>
  </w:footnote>
  <w:footnote w:id="40">
    <w:p w14:paraId="4FFB5A4F" w14:textId="1B8E713B"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Para 52;</w:t>
      </w:r>
      <w:r w:rsidRPr="005706F5">
        <w:rPr>
          <w:rFonts w:ascii="Times New Roman" w:hAnsi="Times New Roman" w:cs="Times New Roman"/>
          <w:i/>
          <w:sz w:val="20"/>
          <w:szCs w:val="20"/>
        </w:rPr>
        <w:t xml:space="preserve"> </w:t>
      </w:r>
      <w:r w:rsidRPr="005706F5">
        <w:rPr>
          <w:rFonts w:ascii="Times New Roman" w:hAnsi="Times New Roman" w:cs="Times New Roman"/>
          <w:sz w:val="20"/>
          <w:szCs w:val="20"/>
        </w:rPr>
        <w:t>para 23 (reasoning that “if [</w:t>
      </w:r>
      <w:proofErr w:type="spellStart"/>
      <w:r w:rsidRPr="005706F5">
        <w:rPr>
          <w:rFonts w:ascii="Times New Roman" w:hAnsi="Times New Roman" w:cs="Times New Roman"/>
          <w:sz w:val="20"/>
          <w:szCs w:val="20"/>
        </w:rPr>
        <w:t>Mr.P</w:t>
      </w:r>
      <w:proofErr w:type="spellEnd"/>
      <w:r w:rsidRPr="005706F5">
        <w:rPr>
          <w:rFonts w:ascii="Times New Roman" w:hAnsi="Times New Roman" w:cs="Times New Roman"/>
          <w:sz w:val="20"/>
          <w:szCs w:val="20"/>
        </w:rPr>
        <w:t>] had read that document, he would have seen that the investment was described as a note linked to GKO bonds, rather than a share in the bonds themselves. That ought at least to have raised in the mind of an experienced investor the question whether the investment he was being offered was a derivative […] Moreover, the terms in which [Mrs. B] had described the investment to him […] were scarcely such as to enable him to obtain a very clear understanding of the precise nature of the investment.”)</w:t>
      </w:r>
    </w:p>
  </w:footnote>
  <w:footnote w:id="41">
    <w:p w14:paraId="26B7FD11" w14:textId="20E2F621"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Para 60</w:t>
      </w:r>
    </w:p>
  </w:footnote>
  <w:footnote w:id="42">
    <w:p w14:paraId="7DF6B253" w14:textId="4C89628B" w:rsidR="00B65458" w:rsidRPr="005706F5" w:rsidRDefault="00B65458" w:rsidP="004E6A56">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para 52 </w:t>
      </w:r>
    </w:p>
  </w:footnote>
  <w:footnote w:id="43">
    <w:p w14:paraId="0A893C81" w14:textId="059F239D"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para 43</w:t>
      </w:r>
    </w:p>
  </w:footnote>
  <w:footnote w:id="44">
    <w:p w14:paraId="2D42E9E0" w14:textId="1A805B7B" w:rsidR="00B65458" w:rsidRPr="005706F5" w:rsidRDefault="00B65458" w:rsidP="00E0085F">
      <w:pPr>
        <w:widowControl w:val="0"/>
        <w:autoSpaceDE w:val="0"/>
        <w:autoSpaceDN w:val="0"/>
        <w:adjustRightInd w:val="0"/>
        <w:spacing w:after="240"/>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Para 56-57 (Reasoning, “There is no reason in principle why parties to a contract should not agree that a certain state of affairs should form the basis for the transaction, whether it be the case or not. […] Where parties express an agreement of that kind in a contractual document neither can subsequently deny the existence of the facts and matters upon which they have agreed, </w:t>
      </w:r>
      <w:r w:rsidR="00B569B7">
        <w:rPr>
          <w:rFonts w:ascii="Times New Roman" w:hAnsi="Times New Roman" w:cs="Times New Roman"/>
          <w:sz w:val="20"/>
          <w:szCs w:val="20"/>
        </w:rPr>
        <w:t xml:space="preserve">[…] </w:t>
      </w:r>
      <w:r w:rsidRPr="005706F5">
        <w:rPr>
          <w:rFonts w:ascii="Times New Roman" w:hAnsi="Times New Roman" w:cs="Times New Roman"/>
          <w:sz w:val="20"/>
          <w:szCs w:val="20"/>
        </w:rPr>
        <w:t xml:space="preserve">I can see no reason in principle why it should not be possible for parties to an agreement to give up any right to assert that they were induced to enter into it by misrepresentation, provided that they make their intention clear, or why a clause of that kind, if properly drafted, should not give rise to a contractual estoppel of the kind </w:t>
      </w:r>
      <w:proofErr w:type="spellStart"/>
      <w:r w:rsidRPr="005706F5">
        <w:rPr>
          <w:rFonts w:ascii="Times New Roman" w:hAnsi="Times New Roman" w:cs="Times New Roman"/>
          <w:sz w:val="20"/>
          <w:szCs w:val="20"/>
        </w:rPr>
        <w:t>recognised</w:t>
      </w:r>
      <w:proofErr w:type="spellEnd"/>
      <w:r w:rsidRPr="005706F5">
        <w:rPr>
          <w:rFonts w:ascii="Times New Roman" w:hAnsi="Times New Roman" w:cs="Times New Roman"/>
          <w:sz w:val="20"/>
          <w:szCs w:val="20"/>
        </w:rPr>
        <w:t xml:space="preserve"> in </w:t>
      </w:r>
      <w:r w:rsidRPr="005706F5">
        <w:rPr>
          <w:rFonts w:ascii="Times New Roman" w:hAnsi="Times New Roman" w:cs="Times New Roman"/>
          <w:i/>
          <w:iCs/>
          <w:sz w:val="20"/>
          <w:szCs w:val="20"/>
        </w:rPr>
        <w:t>Colchester Borough Council v Smith</w:t>
      </w:r>
      <w:r w:rsidRPr="005706F5">
        <w:rPr>
          <w:rFonts w:ascii="Times New Roman" w:hAnsi="Times New Roman" w:cs="Times New Roman"/>
          <w:iCs/>
          <w:sz w:val="20"/>
          <w:szCs w:val="20"/>
        </w:rPr>
        <w:t xml:space="preserve">” [1991] </w:t>
      </w:r>
      <w:proofErr w:type="spellStart"/>
      <w:r w:rsidRPr="005706F5">
        <w:rPr>
          <w:rFonts w:ascii="Times New Roman" w:hAnsi="Times New Roman" w:cs="Times New Roman"/>
          <w:iCs/>
          <w:sz w:val="20"/>
          <w:szCs w:val="20"/>
        </w:rPr>
        <w:t>Ch</w:t>
      </w:r>
      <w:proofErr w:type="spellEnd"/>
      <w:r w:rsidRPr="005706F5">
        <w:rPr>
          <w:rFonts w:ascii="Times New Roman" w:hAnsi="Times New Roman" w:cs="Times New Roman"/>
          <w:iCs/>
          <w:sz w:val="20"/>
          <w:szCs w:val="20"/>
        </w:rPr>
        <w:t xml:space="preserve"> 448, affirmed</w:t>
      </w:r>
      <w:r w:rsidR="00B569B7">
        <w:rPr>
          <w:rFonts w:ascii="Times New Roman" w:hAnsi="Times New Roman" w:cs="Times New Roman"/>
          <w:iCs/>
          <w:sz w:val="20"/>
          <w:szCs w:val="20"/>
        </w:rPr>
        <w:t xml:space="preserve"> on appeal [1992] </w:t>
      </w:r>
      <w:proofErr w:type="spellStart"/>
      <w:r w:rsidR="00B569B7">
        <w:rPr>
          <w:rFonts w:ascii="Times New Roman" w:hAnsi="Times New Roman" w:cs="Times New Roman"/>
          <w:iCs/>
          <w:sz w:val="20"/>
          <w:szCs w:val="20"/>
        </w:rPr>
        <w:t>Ch</w:t>
      </w:r>
      <w:proofErr w:type="spellEnd"/>
      <w:r w:rsidR="00B569B7">
        <w:rPr>
          <w:rFonts w:ascii="Times New Roman" w:hAnsi="Times New Roman" w:cs="Times New Roman"/>
          <w:iCs/>
          <w:sz w:val="20"/>
          <w:szCs w:val="20"/>
        </w:rPr>
        <w:t xml:space="preserve"> 421]; </w:t>
      </w:r>
      <w:r w:rsidRPr="005706F5">
        <w:rPr>
          <w:rFonts w:ascii="Times New Roman" w:hAnsi="Times New Roman" w:cs="Times New Roman"/>
          <w:iCs/>
          <w:sz w:val="20"/>
          <w:szCs w:val="20"/>
        </w:rPr>
        <w:t>the court provided no further description of what it meant by an estoppel of that kind.</w:t>
      </w:r>
    </w:p>
  </w:footnote>
  <w:footnote w:id="45">
    <w:p w14:paraId="43C44BB7" w14:textId="295AAA77"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See </w:t>
      </w:r>
      <w:proofErr w:type="spellStart"/>
      <w:r w:rsidRPr="005706F5">
        <w:rPr>
          <w:rFonts w:ascii="Times New Roman" w:hAnsi="Times New Roman" w:cs="Times New Roman"/>
          <w:i/>
          <w:sz w:val="20"/>
          <w:szCs w:val="20"/>
        </w:rPr>
        <w:t>Valse</w:t>
      </w:r>
      <w:proofErr w:type="spellEnd"/>
      <w:r w:rsidRPr="005706F5">
        <w:rPr>
          <w:rFonts w:ascii="Times New Roman" w:hAnsi="Times New Roman" w:cs="Times New Roman"/>
          <w:i/>
          <w:sz w:val="20"/>
          <w:szCs w:val="20"/>
        </w:rPr>
        <w:t xml:space="preserve"> Holdings SA v. Merrill Lynch International Bank</w:t>
      </w:r>
      <w:r w:rsidRPr="005706F5">
        <w:rPr>
          <w:rFonts w:ascii="Times New Roman" w:hAnsi="Times New Roman" w:cs="Times New Roman"/>
          <w:sz w:val="20"/>
          <w:szCs w:val="20"/>
        </w:rPr>
        <w:t xml:space="preserve"> [2004] EWCH 2471 (</w:t>
      </w:r>
      <w:proofErr w:type="spellStart"/>
      <w:r w:rsidRPr="005706F5">
        <w:rPr>
          <w:rFonts w:ascii="Times New Roman" w:hAnsi="Times New Roman" w:cs="Times New Roman"/>
          <w:sz w:val="20"/>
          <w:szCs w:val="20"/>
        </w:rPr>
        <w:t>Comm</w:t>
      </w:r>
      <w:proofErr w:type="spellEnd"/>
      <w:r w:rsidRPr="005706F5">
        <w:rPr>
          <w:rFonts w:ascii="Times New Roman" w:hAnsi="Times New Roman" w:cs="Times New Roman"/>
          <w:sz w:val="20"/>
          <w:szCs w:val="20"/>
        </w:rPr>
        <w:t xml:space="preserve">), para. 26, 69 (Morrison J holding the defendant owed no contractual duty to the client about the suitability of investment portfolio when he was an investing expert, it was an advisory trading account, and </w:t>
      </w:r>
      <w:proofErr w:type="spellStart"/>
      <w:r w:rsidRPr="005706F5">
        <w:rPr>
          <w:rFonts w:ascii="Times New Roman" w:hAnsi="Times New Roman" w:cs="Times New Roman"/>
          <w:sz w:val="20"/>
          <w:szCs w:val="20"/>
        </w:rPr>
        <w:t>Merill</w:t>
      </w:r>
      <w:proofErr w:type="spellEnd"/>
      <w:r w:rsidRPr="005706F5">
        <w:rPr>
          <w:rFonts w:ascii="Times New Roman" w:hAnsi="Times New Roman" w:cs="Times New Roman"/>
          <w:sz w:val="20"/>
          <w:szCs w:val="20"/>
        </w:rPr>
        <w:t xml:space="preserve"> Lynch made clear in its terms and conditions that the client was responsible for determining the suitability of its advice); </w:t>
      </w:r>
      <w:r w:rsidRPr="005706F5">
        <w:rPr>
          <w:rFonts w:ascii="Times New Roman" w:hAnsi="Times New Roman" w:cs="Times New Roman"/>
          <w:i/>
          <w:sz w:val="20"/>
          <w:szCs w:val="20"/>
        </w:rPr>
        <w:t xml:space="preserve">See also </w:t>
      </w:r>
      <w:proofErr w:type="spellStart"/>
      <w:r w:rsidRPr="005706F5">
        <w:rPr>
          <w:rFonts w:ascii="Times New Roman" w:hAnsi="Times New Roman" w:cs="Times New Roman"/>
          <w:sz w:val="20"/>
          <w:szCs w:val="20"/>
        </w:rPr>
        <w:t>Encyclopaedia</w:t>
      </w:r>
      <w:proofErr w:type="spellEnd"/>
      <w:r w:rsidRPr="005706F5">
        <w:rPr>
          <w:rFonts w:ascii="Times New Roman" w:hAnsi="Times New Roman" w:cs="Times New Roman"/>
          <w:sz w:val="20"/>
          <w:szCs w:val="20"/>
        </w:rPr>
        <w:t xml:space="preserve"> of Banking Law (citing cases to support the proposition, “Even before the Misrepresentation Act 1967 there were a number of cases where the complainant was unable to show that he was induced by a misrepresentation since he was a man of affairs who was quite competent to form an opinion for himself and whose experience must have taught him how little reliance was to be placed upon representations of the type in question.”), 5253.</w:t>
      </w:r>
    </w:p>
  </w:footnote>
  <w:footnote w:id="46">
    <w:p w14:paraId="6148C292" w14:textId="58B1BB90" w:rsidR="00B65458" w:rsidRPr="005706F5" w:rsidRDefault="00B65458" w:rsidP="006F28AF">
      <w:pPr>
        <w:rPr>
          <w:rFonts w:ascii="Times New Roman" w:eastAsia="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eastAsia="Times New Roman" w:hAnsi="Times New Roman" w:cs="Times New Roman"/>
          <w:i/>
          <w:iCs/>
          <w:sz w:val="20"/>
          <w:szCs w:val="20"/>
        </w:rPr>
        <w:t>Abu Dhabi Commercial Bank v. Morgan Stanley &amp; Co.</w:t>
      </w:r>
      <w:r w:rsidRPr="005706F5">
        <w:rPr>
          <w:rFonts w:ascii="Times New Roman" w:eastAsia="Times New Roman" w:hAnsi="Times New Roman" w:cs="Times New Roman"/>
          <w:sz w:val="20"/>
          <w:szCs w:val="20"/>
        </w:rPr>
        <w:t>, 651 F.Supp.2d 155, 170 (S.D.N.Y. 2009).</w:t>
      </w:r>
    </w:p>
  </w:footnote>
  <w:footnote w:id="47">
    <w:p w14:paraId="3D2AB2DA" w14:textId="072AA2DD" w:rsidR="00B65458" w:rsidRPr="005706F5" w:rsidRDefault="00B65458" w:rsidP="0072198D">
      <w:pPr>
        <w:rPr>
          <w:rFonts w:ascii="Times New Roman" w:eastAsia="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eastAsia="Times New Roman" w:hAnsi="Times New Roman" w:cs="Times New Roman"/>
          <w:iCs/>
          <w:sz w:val="20"/>
          <w:szCs w:val="20"/>
        </w:rPr>
        <w:t>Ibid. at</w:t>
      </w:r>
      <w:r w:rsidRPr="005706F5">
        <w:rPr>
          <w:rFonts w:ascii="Times New Roman" w:eastAsia="Times New Roman" w:hAnsi="Times New Roman" w:cs="Times New Roman"/>
          <w:sz w:val="20"/>
          <w:szCs w:val="20"/>
        </w:rPr>
        <w:t xml:space="preserve"> para. 20.</w:t>
      </w:r>
    </w:p>
  </w:footnote>
  <w:footnote w:id="48">
    <w:p w14:paraId="532026DB" w14:textId="77777777" w:rsidR="00B65458" w:rsidRPr="005706F5" w:rsidRDefault="00B65458" w:rsidP="002B1C4A">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http://www.bloomberg.com/news/articles/2013-04-26/morgan-stanley-settles-washington-abu-dhabi-lawuits</w:t>
      </w:r>
    </w:p>
  </w:footnote>
  <w:footnote w:id="49">
    <w:p w14:paraId="762C8FA7" w14:textId="28C73821"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Morgan Stanley at para 79.</w:t>
      </w:r>
    </w:p>
  </w:footnote>
  <w:footnote w:id="50">
    <w:p w14:paraId="15589485" w14:textId="3A5A9D36"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Morgan Stanley at para 70.</w:t>
      </w:r>
    </w:p>
  </w:footnote>
  <w:footnote w:id="51">
    <w:p w14:paraId="54BD014D" w14:textId="050F53B9"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Para 72.</w:t>
      </w:r>
    </w:p>
  </w:footnote>
  <w:footnote w:id="52">
    <w:p w14:paraId="61C95F8A" w14:textId="650A4925" w:rsidR="00B65458" w:rsidRPr="005706F5" w:rsidRDefault="00B65458">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Morgan Stanley at para 72.</w:t>
      </w:r>
    </w:p>
  </w:footnote>
  <w:footnote w:id="53">
    <w:p w14:paraId="4AA6583A" w14:textId="77777777" w:rsidR="00B65458" w:rsidRDefault="00B65458" w:rsidP="00985FCF">
      <w:pPr>
        <w:pStyle w:val="FootnoteText"/>
      </w:pPr>
      <w:r>
        <w:rPr>
          <w:rStyle w:val="FootnoteReference"/>
        </w:rPr>
        <w:footnoteRef/>
      </w:r>
      <w:r>
        <w:t xml:space="preserve"> See [2007] para 34. </w:t>
      </w:r>
    </w:p>
  </w:footnote>
  <w:footnote w:id="54">
    <w:p w14:paraId="6A938E12" w14:textId="5D761F4F" w:rsidR="00B65458" w:rsidRPr="003736B6" w:rsidRDefault="00B65458" w:rsidP="00985FCF">
      <w:pPr>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3736B6">
        <w:rPr>
          <w:rFonts w:ascii="Times New Roman" w:hAnsi="Times New Roman" w:cs="Times New Roman"/>
          <w:bCs/>
          <w:i/>
          <w:sz w:val="20"/>
          <w:szCs w:val="20"/>
        </w:rPr>
        <w:t xml:space="preserve">Bankers Trust International plc v PT </w:t>
      </w:r>
      <w:proofErr w:type="spellStart"/>
      <w:r w:rsidRPr="003736B6">
        <w:rPr>
          <w:rFonts w:ascii="Times New Roman" w:hAnsi="Times New Roman" w:cs="Times New Roman"/>
          <w:bCs/>
          <w:i/>
          <w:sz w:val="20"/>
          <w:szCs w:val="20"/>
        </w:rPr>
        <w:t>Dharmala</w:t>
      </w:r>
      <w:proofErr w:type="spellEnd"/>
      <w:r w:rsidRPr="003736B6">
        <w:rPr>
          <w:rFonts w:ascii="Times New Roman" w:hAnsi="Times New Roman" w:cs="Times New Roman"/>
          <w:bCs/>
          <w:i/>
          <w:sz w:val="20"/>
          <w:szCs w:val="20"/>
        </w:rPr>
        <w:t xml:space="preserve"> Sakti Sejahtera </w:t>
      </w:r>
      <w:r w:rsidRPr="003736B6">
        <w:rPr>
          <w:rFonts w:ascii="Times" w:eastAsia="Times New Roman" w:hAnsi="Times" w:cs="Times New Roman"/>
          <w:i/>
          <w:sz w:val="20"/>
          <w:szCs w:val="20"/>
        </w:rPr>
        <w:t>[</w:t>
      </w:r>
      <w:r w:rsidRPr="003736B6">
        <w:rPr>
          <w:rFonts w:ascii="Times" w:eastAsia="Times New Roman" w:hAnsi="Times" w:cs="Times New Roman"/>
          <w:sz w:val="20"/>
          <w:szCs w:val="20"/>
        </w:rPr>
        <w:t>1996] C</w:t>
      </w:r>
      <w:r>
        <w:rPr>
          <w:rFonts w:ascii="Times" w:eastAsia="Times New Roman" w:hAnsi="Times" w:cs="Times New Roman"/>
          <w:sz w:val="20"/>
          <w:szCs w:val="20"/>
        </w:rPr>
        <w:t>.</w:t>
      </w:r>
      <w:r w:rsidRPr="003736B6">
        <w:rPr>
          <w:rFonts w:ascii="Times" w:eastAsia="Times New Roman" w:hAnsi="Times" w:cs="Times New Roman"/>
          <w:sz w:val="20"/>
          <w:szCs w:val="20"/>
        </w:rPr>
        <w:t>L</w:t>
      </w:r>
      <w:r>
        <w:rPr>
          <w:rFonts w:ascii="Times" w:eastAsia="Times New Roman" w:hAnsi="Times" w:cs="Times New Roman"/>
          <w:sz w:val="20"/>
          <w:szCs w:val="20"/>
        </w:rPr>
        <w:t>.</w:t>
      </w:r>
      <w:r w:rsidRPr="003736B6">
        <w:rPr>
          <w:rFonts w:ascii="Times" w:eastAsia="Times New Roman" w:hAnsi="Times" w:cs="Times New Roman"/>
          <w:sz w:val="20"/>
          <w:szCs w:val="20"/>
        </w:rPr>
        <w:t>C 518</w:t>
      </w:r>
      <w:r>
        <w:rPr>
          <w:rFonts w:ascii="Times" w:eastAsia="Times New Roman" w:hAnsi="Times" w:cs="Times New Roman"/>
          <w:sz w:val="20"/>
          <w:szCs w:val="20"/>
        </w:rPr>
        <w:t xml:space="preserve"> </w:t>
      </w:r>
      <w:r w:rsidRPr="005706F5">
        <w:rPr>
          <w:rFonts w:ascii="Times New Roman" w:hAnsi="Times New Roman" w:cs="Times New Roman"/>
          <w:sz w:val="20"/>
          <w:szCs w:val="20"/>
        </w:rPr>
        <w:t>at *532 (“Once such a fraudulent representation is shown, that is the end of the matter if the recipient has actually been induced thereby to enter the contract.</w:t>
      </w:r>
      <w:r>
        <w:rPr>
          <w:rFonts w:ascii="Times New Roman" w:hAnsi="Times New Roman" w:cs="Times New Roman"/>
          <w:sz w:val="20"/>
          <w:szCs w:val="20"/>
        </w:rPr>
        <w:t xml:space="preserve"> …</w:t>
      </w:r>
      <w:r w:rsidRPr="005706F5">
        <w:rPr>
          <w:rFonts w:ascii="Times New Roman" w:hAnsi="Times New Roman" w:cs="Times New Roman"/>
          <w:sz w:val="20"/>
          <w:szCs w:val="20"/>
        </w:rPr>
        <w:t xml:space="preserve"> </w:t>
      </w:r>
      <w:r>
        <w:rPr>
          <w:rFonts w:ascii="Times New Roman" w:hAnsi="Times New Roman" w:cs="Times New Roman"/>
          <w:sz w:val="20"/>
          <w:szCs w:val="20"/>
        </w:rPr>
        <w:t>[The]</w:t>
      </w:r>
      <w:r w:rsidRPr="005706F5">
        <w:rPr>
          <w:rFonts w:ascii="Times New Roman" w:hAnsi="Times New Roman" w:cs="Times New Roman"/>
          <w:sz w:val="20"/>
          <w:szCs w:val="20"/>
        </w:rPr>
        <w:t xml:space="preserve"> question</w:t>
      </w:r>
      <w:r>
        <w:rPr>
          <w:rFonts w:ascii="Times New Roman" w:hAnsi="Times New Roman" w:cs="Times New Roman"/>
          <w:sz w:val="20"/>
          <w:szCs w:val="20"/>
        </w:rPr>
        <w:t xml:space="preserve"> [of inducement]</w:t>
      </w:r>
      <w:r w:rsidRPr="005706F5">
        <w:rPr>
          <w:rFonts w:ascii="Times New Roman" w:hAnsi="Times New Roman" w:cs="Times New Roman"/>
          <w:sz w:val="20"/>
          <w:szCs w:val="20"/>
        </w:rPr>
        <w:t xml:space="preserve"> involves a subjective investigation of the actual impact of the representation on its actual recipient, having regard to his actual characteristics and knowledge, whether or not these were within the knowledge of the maker of the representation.”)</w:t>
      </w:r>
    </w:p>
  </w:footnote>
  <w:footnote w:id="55">
    <w:p w14:paraId="39BE430C" w14:textId="77777777" w:rsidR="00B65458" w:rsidRPr="005706F5" w:rsidRDefault="00B65458" w:rsidP="00985FCF">
      <w:pPr>
        <w:pStyle w:val="FootnoteText"/>
        <w:rPr>
          <w:rFonts w:ascii="Times New Roman" w:hAnsi="Times New Roman" w:cs="Times New Roman"/>
          <w:sz w:val="20"/>
          <w:szCs w:val="20"/>
        </w:rPr>
      </w:pPr>
      <w:r w:rsidRPr="005706F5">
        <w:rPr>
          <w:rStyle w:val="FootnoteReference"/>
          <w:rFonts w:ascii="Times New Roman" w:hAnsi="Times New Roman" w:cs="Times New Roman"/>
          <w:sz w:val="20"/>
          <w:szCs w:val="20"/>
        </w:rPr>
        <w:footnoteRef/>
      </w:r>
      <w:r w:rsidRPr="005706F5">
        <w:rPr>
          <w:rFonts w:ascii="Times New Roman" w:hAnsi="Times New Roman" w:cs="Times New Roman"/>
          <w:sz w:val="20"/>
          <w:szCs w:val="20"/>
        </w:rPr>
        <w:t xml:space="preserve"> </w:t>
      </w:r>
      <w:r w:rsidRPr="005706F5">
        <w:rPr>
          <w:rFonts w:ascii="Times New Roman" w:hAnsi="Times New Roman" w:cs="Times New Roman"/>
          <w:i/>
          <w:sz w:val="20"/>
          <w:szCs w:val="20"/>
        </w:rPr>
        <w:t xml:space="preserve">See </w:t>
      </w:r>
      <w:r w:rsidRPr="005706F5">
        <w:rPr>
          <w:rFonts w:ascii="Times New Roman" w:hAnsi="Times New Roman" w:cs="Times New Roman"/>
          <w:sz w:val="20"/>
          <w:szCs w:val="20"/>
        </w:rPr>
        <w:t>*537.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823C" w14:textId="77777777" w:rsidR="001D7F94" w:rsidRDefault="001D7F94" w:rsidP="001D7F94">
    <w:pPr>
      <w:jc w:val="center"/>
      <w:rPr>
        <w:rFonts w:ascii="Times New Roman" w:hAnsi="Times New Roman" w:cs="Times New Roman"/>
        <w:b/>
        <w:sz w:val="20"/>
        <w:szCs w:val="20"/>
      </w:rPr>
    </w:pPr>
  </w:p>
  <w:p w14:paraId="2CE44DC6" w14:textId="77777777" w:rsidR="001D7F94" w:rsidRDefault="001D7F94" w:rsidP="001D7F94">
    <w:pPr>
      <w:jc w:val="center"/>
      <w:rPr>
        <w:rFonts w:ascii="Times New Roman" w:hAnsi="Times New Roman" w:cs="Times New Roman"/>
        <w:b/>
        <w:sz w:val="20"/>
        <w:szCs w:val="20"/>
      </w:rPr>
    </w:pPr>
  </w:p>
  <w:p w14:paraId="417AA811" w14:textId="2FFC031A" w:rsidR="001D7F94" w:rsidRPr="001D7F94" w:rsidRDefault="001D7F94" w:rsidP="001D7F94">
    <w:pPr>
      <w:jc w:val="center"/>
      <w:rPr>
        <w:rFonts w:ascii="Arial Black" w:hAnsi="Arial Black" w:cs="Times New Roman"/>
        <w:b/>
        <w:sz w:val="16"/>
        <w:szCs w:val="16"/>
      </w:rPr>
    </w:pPr>
    <w:r w:rsidRPr="001D7F94">
      <w:rPr>
        <w:rFonts w:ascii="Arial Black" w:hAnsi="Arial Black" w:cs="Times New Roman"/>
        <w:b/>
        <w:sz w:val="16"/>
        <w:szCs w:val="16"/>
      </w:rPr>
      <w:t xml:space="preserve">Disclaimer Provisions on Bank </w:t>
    </w:r>
    <w:r w:rsidRPr="001D7F94">
      <w:rPr>
        <w:rFonts w:ascii="Arial Black" w:hAnsi="Arial Black" w:cs="Times New Roman"/>
        <w:b/>
        <w:sz w:val="16"/>
        <w:szCs w:val="16"/>
      </w:rPr>
      <w:t>Liability</w:t>
    </w:r>
  </w:p>
  <w:p w14:paraId="1B86B3E5" w14:textId="77777777" w:rsidR="001D7F94" w:rsidRDefault="001D7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346A"/>
    <w:multiLevelType w:val="hybridMultilevel"/>
    <w:tmpl w:val="EACAD7FA"/>
    <w:lvl w:ilvl="0" w:tplc="38EAEB44">
      <w:start w:val="1"/>
      <w:numFmt w:val="bullet"/>
      <w:lvlText w:val="•"/>
      <w:lvlJc w:val="left"/>
      <w:pPr>
        <w:tabs>
          <w:tab w:val="num" w:pos="720"/>
        </w:tabs>
        <w:ind w:left="720" w:hanging="360"/>
      </w:pPr>
      <w:rPr>
        <w:rFonts w:ascii="Times" w:hAnsi="Times" w:hint="default"/>
      </w:rPr>
    </w:lvl>
    <w:lvl w:ilvl="1" w:tplc="522A9478" w:tentative="1">
      <w:start w:val="1"/>
      <w:numFmt w:val="bullet"/>
      <w:lvlText w:val="•"/>
      <w:lvlJc w:val="left"/>
      <w:pPr>
        <w:tabs>
          <w:tab w:val="num" w:pos="1440"/>
        </w:tabs>
        <w:ind w:left="1440" w:hanging="360"/>
      </w:pPr>
      <w:rPr>
        <w:rFonts w:ascii="Times" w:hAnsi="Times" w:hint="default"/>
      </w:rPr>
    </w:lvl>
    <w:lvl w:ilvl="2" w:tplc="37D2BD6C" w:tentative="1">
      <w:start w:val="1"/>
      <w:numFmt w:val="bullet"/>
      <w:lvlText w:val="•"/>
      <w:lvlJc w:val="left"/>
      <w:pPr>
        <w:tabs>
          <w:tab w:val="num" w:pos="2160"/>
        </w:tabs>
        <w:ind w:left="2160" w:hanging="360"/>
      </w:pPr>
      <w:rPr>
        <w:rFonts w:ascii="Times" w:hAnsi="Times" w:hint="default"/>
      </w:rPr>
    </w:lvl>
    <w:lvl w:ilvl="3" w:tplc="58320C1C" w:tentative="1">
      <w:start w:val="1"/>
      <w:numFmt w:val="bullet"/>
      <w:lvlText w:val="•"/>
      <w:lvlJc w:val="left"/>
      <w:pPr>
        <w:tabs>
          <w:tab w:val="num" w:pos="2880"/>
        </w:tabs>
        <w:ind w:left="2880" w:hanging="360"/>
      </w:pPr>
      <w:rPr>
        <w:rFonts w:ascii="Times" w:hAnsi="Times" w:hint="default"/>
      </w:rPr>
    </w:lvl>
    <w:lvl w:ilvl="4" w:tplc="D924C714" w:tentative="1">
      <w:start w:val="1"/>
      <w:numFmt w:val="bullet"/>
      <w:lvlText w:val="•"/>
      <w:lvlJc w:val="left"/>
      <w:pPr>
        <w:tabs>
          <w:tab w:val="num" w:pos="3600"/>
        </w:tabs>
        <w:ind w:left="3600" w:hanging="360"/>
      </w:pPr>
      <w:rPr>
        <w:rFonts w:ascii="Times" w:hAnsi="Times" w:hint="default"/>
      </w:rPr>
    </w:lvl>
    <w:lvl w:ilvl="5" w:tplc="FEE67B80" w:tentative="1">
      <w:start w:val="1"/>
      <w:numFmt w:val="bullet"/>
      <w:lvlText w:val="•"/>
      <w:lvlJc w:val="left"/>
      <w:pPr>
        <w:tabs>
          <w:tab w:val="num" w:pos="4320"/>
        </w:tabs>
        <w:ind w:left="4320" w:hanging="360"/>
      </w:pPr>
      <w:rPr>
        <w:rFonts w:ascii="Times" w:hAnsi="Times" w:hint="default"/>
      </w:rPr>
    </w:lvl>
    <w:lvl w:ilvl="6" w:tplc="66FAE1B6" w:tentative="1">
      <w:start w:val="1"/>
      <w:numFmt w:val="bullet"/>
      <w:lvlText w:val="•"/>
      <w:lvlJc w:val="left"/>
      <w:pPr>
        <w:tabs>
          <w:tab w:val="num" w:pos="5040"/>
        </w:tabs>
        <w:ind w:left="5040" w:hanging="360"/>
      </w:pPr>
      <w:rPr>
        <w:rFonts w:ascii="Times" w:hAnsi="Times" w:hint="default"/>
      </w:rPr>
    </w:lvl>
    <w:lvl w:ilvl="7" w:tplc="A6045512" w:tentative="1">
      <w:start w:val="1"/>
      <w:numFmt w:val="bullet"/>
      <w:lvlText w:val="•"/>
      <w:lvlJc w:val="left"/>
      <w:pPr>
        <w:tabs>
          <w:tab w:val="num" w:pos="5760"/>
        </w:tabs>
        <w:ind w:left="5760" w:hanging="360"/>
      </w:pPr>
      <w:rPr>
        <w:rFonts w:ascii="Times" w:hAnsi="Times" w:hint="default"/>
      </w:rPr>
    </w:lvl>
    <w:lvl w:ilvl="8" w:tplc="E8967E60"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3DE6622E"/>
    <w:multiLevelType w:val="hybridMultilevel"/>
    <w:tmpl w:val="8C02C4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C36CC"/>
    <w:multiLevelType w:val="hybridMultilevel"/>
    <w:tmpl w:val="D46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82F62"/>
    <w:multiLevelType w:val="hybridMultilevel"/>
    <w:tmpl w:val="3EACBF26"/>
    <w:lvl w:ilvl="0" w:tplc="7F72D9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8F"/>
    <w:rsid w:val="00003BDC"/>
    <w:rsid w:val="000065B9"/>
    <w:rsid w:val="00006834"/>
    <w:rsid w:val="000210C3"/>
    <w:rsid w:val="0005228F"/>
    <w:rsid w:val="00070A53"/>
    <w:rsid w:val="00083B76"/>
    <w:rsid w:val="0009037F"/>
    <w:rsid w:val="00090700"/>
    <w:rsid w:val="000A7150"/>
    <w:rsid w:val="000B6CA4"/>
    <w:rsid w:val="000E0CB7"/>
    <w:rsid w:val="000E152C"/>
    <w:rsid w:val="000E3723"/>
    <w:rsid w:val="000F188D"/>
    <w:rsid w:val="001171CD"/>
    <w:rsid w:val="00132593"/>
    <w:rsid w:val="00141749"/>
    <w:rsid w:val="00141A08"/>
    <w:rsid w:val="00142D33"/>
    <w:rsid w:val="00144EF0"/>
    <w:rsid w:val="00150F76"/>
    <w:rsid w:val="00151327"/>
    <w:rsid w:val="00151C3D"/>
    <w:rsid w:val="001535F5"/>
    <w:rsid w:val="00156FF1"/>
    <w:rsid w:val="0016240A"/>
    <w:rsid w:val="00162D24"/>
    <w:rsid w:val="00176E2E"/>
    <w:rsid w:val="001774BC"/>
    <w:rsid w:val="00180C1F"/>
    <w:rsid w:val="00182831"/>
    <w:rsid w:val="001916FD"/>
    <w:rsid w:val="001A35E1"/>
    <w:rsid w:val="001C4D31"/>
    <w:rsid w:val="001C5626"/>
    <w:rsid w:val="001D5934"/>
    <w:rsid w:val="001D7F94"/>
    <w:rsid w:val="001E0ED0"/>
    <w:rsid w:val="001F60C4"/>
    <w:rsid w:val="001F75E6"/>
    <w:rsid w:val="00227013"/>
    <w:rsid w:val="00231FEA"/>
    <w:rsid w:val="00245257"/>
    <w:rsid w:val="00252202"/>
    <w:rsid w:val="0025352C"/>
    <w:rsid w:val="002602E6"/>
    <w:rsid w:val="002627C5"/>
    <w:rsid w:val="00265F0B"/>
    <w:rsid w:val="002836BD"/>
    <w:rsid w:val="002A13D1"/>
    <w:rsid w:val="002B0CF8"/>
    <w:rsid w:val="002B1C4A"/>
    <w:rsid w:val="002B53FC"/>
    <w:rsid w:val="002C7AE7"/>
    <w:rsid w:val="002D4449"/>
    <w:rsid w:val="002E29E5"/>
    <w:rsid w:val="0030082C"/>
    <w:rsid w:val="00300ECB"/>
    <w:rsid w:val="00305142"/>
    <w:rsid w:val="00316DAC"/>
    <w:rsid w:val="0032706C"/>
    <w:rsid w:val="00330716"/>
    <w:rsid w:val="003513C6"/>
    <w:rsid w:val="00354097"/>
    <w:rsid w:val="00355304"/>
    <w:rsid w:val="0036023A"/>
    <w:rsid w:val="00361359"/>
    <w:rsid w:val="003814C5"/>
    <w:rsid w:val="00382CFF"/>
    <w:rsid w:val="00382D57"/>
    <w:rsid w:val="003917B4"/>
    <w:rsid w:val="00392856"/>
    <w:rsid w:val="00393DEF"/>
    <w:rsid w:val="00396A4D"/>
    <w:rsid w:val="003A420B"/>
    <w:rsid w:val="003B39CC"/>
    <w:rsid w:val="003C799C"/>
    <w:rsid w:val="003F0E75"/>
    <w:rsid w:val="003F740D"/>
    <w:rsid w:val="004053F7"/>
    <w:rsid w:val="00412EE2"/>
    <w:rsid w:val="004414D0"/>
    <w:rsid w:val="004453B9"/>
    <w:rsid w:val="00447B73"/>
    <w:rsid w:val="00450F9D"/>
    <w:rsid w:val="004540D3"/>
    <w:rsid w:val="00457591"/>
    <w:rsid w:val="004605F1"/>
    <w:rsid w:val="004668B1"/>
    <w:rsid w:val="00467295"/>
    <w:rsid w:val="004746CE"/>
    <w:rsid w:val="004767A1"/>
    <w:rsid w:val="0047717B"/>
    <w:rsid w:val="00492B4E"/>
    <w:rsid w:val="00493496"/>
    <w:rsid w:val="00496B18"/>
    <w:rsid w:val="004A2918"/>
    <w:rsid w:val="004A561B"/>
    <w:rsid w:val="004C09D3"/>
    <w:rsid w:val="004C25D0"/>
    <w:rsid w:val="004E2026"/>
    <w:rsid w:val="004E5182"/>
    <w:rsid w:val="004E6A56"/>
    <w:rsid w:val="004F2A23"/>
    <w:rsid w:val="004F3082"/>
    <w:rsid w:val="005014D9"/>
    <w:rsid w:val="0050168F"/>
    <w:rsid w:val="00503D9D"/>
    <w:rsid w:val="0051227C"/>
    <w:rsid w:val="005152ED"/>
    <w:rsid w:val="00517803"/>
    <w:rsid w:val="00522741"/>
    <w:rsid w:val="00527DC2"/>
    <w:rsid w:val="005339C6"/>
    <w:rsid w:val="00533C1D"/>
    <w:rsid w:val="00540F94"/>
    <w:rsid w:val="005474D8"/>
    <w:rsid w:val="00551C59"/>
    <w:rsid w:val="00556AEA"/>
    <w:rsid w:val="00566EB5"/>
    <w:rsid w:val="005706F5"/>
    <w:rsid w:val="0058322D"/>
    <w:rsid w:val="0059396A"/>
    <w:rsid w:val="005A25C2"/>
    <w:rsid w:val="005B1051"/>
    <w:rsid w:val="005C1852"/>
    <w:rsid w:val="005C74EB"/>
    <w:rsid w:val="005D0682"/>
    <w:rsid w:val="005D083B"/>
    <w:rsid w:val="005D355A"/>
    <w:rsid w:val="005E00A4"/>
    <w:rsid w:val="005F0B47"/>
    <w:rsid w:val="00604C89"/>
    <w:rsid w:val="00613F93"/>
    <w:rsid w:val="00615D77"/>
    <w:rsid w:val="006166B0"/>
    <w:rsid w:val="00620D04"/>
    <w:rsid w:val="006441B0"/>
    <w:rsid w:val="0064441F"/>
    <w:rsid w:val="00645191"/>
    <w:rsid w:val="0065044E"/>
    <w:rsid w:val="00650680"/>
    <w:rsid w:val="00684B9B"/>
    <w:rsid w:val="00686924"/>
    <w:rsid w:val="00690ACF"/>
    <w:rsid w:val="006A3E6D"/>
    <w:rsid w:val="006C6C92"/>
    <w:rsid w:val="006D0EDE"/>
    <w:rsid w:val="006E131B"/>
    <w:rsid w:val="006E32C9"/>
    <w:rsid w:val="006E4242"/>
    <w:rsid w:val="006F28AF"/>
    <w:rsid w:val="006F2E8E"/>
    <w:rsid w:val="006F6A05"/>
    <w:rsid w:val="00705522"/>
    <w:rsid w:val="00714887"/>
    <w:rsid w:val="0072196F"/>
    <w:rsid w:val="0072198D"/>
    <w:rsid w:val="00725CA5"/>
    <w:rsid w:val="00725F57"/>
    <w:rsid w:val="00726C74"/>
    <w:rsid w:val="0073761D"/>
    <w:rsid w:val="0074214A"/>
    <w:rsid w:val="00744853"/>
    <w:rsid w:val="00752230"/>
    <w:rsid w:val="00752C72"/>
    <w:rsid w:val="0075488B"/>
    <w:rsid w:val="007557E4"/>
    <w:rsid w:val="00757151"/>
    <w:rsid w:val="0076648B"/>
    <w:rsid w:val="00777E97"/>
    <w:rsid w:val="00784B81"/>
    <w:rsid w:val="00787C0E"/>
    <w:rsid w:val="007945A7"/>
    <w:rsid w:val="007A2CF3"/>
    <w:rsid w:val="007A576E"/>
    <w:rsid w:val="007A582C"/>
    <w:rsid w:val="007B086E"/>
    <w:rsid w:val="007B1819"/>
    <w:rsid w:val="007B18B8"/>
    <w:rsid w:val="007B1F4C"/>
    <w:rsid w:val="007D1596"/>
    <w:rsid w:val="007D77FD"/>
    <w:rsid w:val="007E53B0"/>
    <w:rsid w:val="007F43E6"/>
    <w:rsid w:val="007F62DB"/>
    <w:rsid w:val="00801503"/>
    <w:rsid w:val="00813D9B"/>
    <w:rsid w:val="00821A1E"/>
    <w:rsid w:val="00827279"/>
    <w:rsid w:val="00836CBF"/>
    <w:rsid w:val="00844A83"/>
    <w:rsid w:val="00845CB2"/>
    <w:rsid w:val="00853F78"/>
    <w:rsid w:val="00854138"/>
    <w:rsid w:val="008561C3"/>
    <w:rsid w:val="008714F1"/>
    <w:rsid w:val="008B1C68"/>
    <w:rsid w:val="008B667A"/>
    <w:rsid w:val="008C2B5B"/>
    <w:rsid w:val="008C5291"/>
    <w:rsid w:val="008C78BF"/>
    <w:rsid w:val="008D1A0C"/>
    <w:rsid w:val="008D464F"/>
    <w:rsid w:val="008E45E7"/>
    <w:rsid w:val="008E55DB"/>
    <w:rsid w:val="009016DB"/>
    <w:rsid w:val="009039B7"/>
    <w:rsid w:val="00903FCB"/>
    <w:rsid w:val="00912FCC"/>
    <w:rsid w:val="009214AD"/>
    <w:rsid w:val="00924150"/>
    <w:rsid w:val="009359C3"/>
    <w:rsid w:val="00947F9D"/>
    <w:rsid w:val="0095095D"/>
    <w:rsid w:val="00961E40"/>
    <w:rsid w:val="00963EF7"/>
    <w:rsid w:val="009736BC"/>
    <w:rsid w:val="00976F71"/>
    <w:rsid w:val="009771B4"/>
    <w:rsid w:val="00982B5D"/>
    <w:rsid w:val="00985FCF"/>
    <w:rsid w:val="00996C10"/>
    <w:rsid w:val="009C01FD"/>
    <w:rsid w:val="009C0FA3"/>
    <w:rsid w:val="009C109D"/>
    <w:rsid w:val="009C25D3"/>
    <w:rsid w:val="009D4A04"/>
    <w:rsid w:val="009D556C"/>
    <w:rsid w:val="009E534E"/>
    <w:rsid w:val="009E6892"/>
    <w:rsid w:val="009F322B"/>
    <w:rsid w:val="009F3CD5"/>
    <w:rsid w:val="009F74C5"/>
    <w:rsid w:val="009F7F26"/>
    <w:rsid w:val="00A00789"/>
    <w:rsid w:val="00A01594"/>
    <w:rsid w:val="00A05589"/>
    <w:rsid w:val="00A30819"/>
    <w:rsid w:val="00A34BE5"/>
    <w:rsid w:val="00A41007"/>
    <w:rsid w:val="00A473DE"/>
    <w:rsid w:val="00A47E1F"/>
    <w:rsid w:val="00A51300"/>
    <w:rsid w:val="00A648D3"/>
    <w:rsid w:val="00A6576A"/>
    <w:rsid w:val="00A87CC5"/>
    <w:rsid w:val="00AA229B"/>
    <w:rsid w:val="00AB22F1"/>
    <w:rsid w:val="00AD05E4"/>
    <w:rsid w:val="00AD31AF"/>
    <w:rsid w:val="00AE01B6"/>
    <w:rsid w:val="00AE47CE"/>
    <w:rsid w:val="00AE4DF0"/>
    <w:rsid w:val="00AE70C3"/>
    <w:rsid w:val="00B45FD1"/>
    <w:rsid w:val="00B467C3"/>
    <w:rsid w:val="00B554BD"/>
    <w:rsid w:val="00B56185"/>
    <w:rsid w:val="00B569B7"/>
    <w:rsid w:val="00B614B6"/>
    <w:rsid w:val="00B64D7F"/>
    <w:rsid w:val="00B65458"/>
    <w:rsid w:val="00B66934"/>
    <w:rsid w:val="00B74284"/>
    <w:rsid w:val="00B82BF1"/>
    <w:rsid w:val="00B911D3"/>
    <w:rsid w:val="00B91F66"/>
    <w:rsid w:val="00B95F3E"/>
    <w:rsid w:val="00BA080D"/>
    <w:rsid w:val="00BA3F40"/>
    <w:rsid w:val="00BA5A8F"/>
    <w:rsid w:val="00BA6C72"/>
    <w:rsid w:val="00BB306E"/>
    <w:rsid w:val="00BC2500"/>
    <w:rsid w:val="00BE7F62"/>
    <w:rsid w:val="00C047CA"/>
    <w:rsid w:val="00C132FB"/>
    <w:rsid w:val="00C1545B"/>
    <w:rsid w:val="00C16A3F"/>
    <w:rsid w:val="00C2440B"/>
    <w:rsid w:val="00C3097F"/>
    <w:rsid w:val="00C35013"/>
    <w:rsid w:val="00C44BFB"/>
    <w:rsid w:val="00C4633A"/>
    <w:rsid w:val="00C51A49"/>
    <w:rsid w:val="00C67387"/>
    <w:rsid w:val="00C96599"/>
    <w:rsid w:val="00CA3F12"/>
    <w:rsid w:val="00CA64D2"/>
    <w:rsid w:val="00CC5CC8"/>
    <w:rsid w:val="00CE1C80"/>
    <w:rsid w:val="00CE76D6"/>
    <w:rsid w:val="00D039D4"/>
    <w:rsid w:val="00D06462"/>
    <w:rsid w:val="00D12609"/>
    <w:rsid w:val="00D32755"/>
    <w:rsid w:val="00D4314C"/>
    <w:rsid w:val="00D46A04"/>
    <w:rsid w:val="00D56DE8"/>
    <w:rsid w:val="00D66D19"/>
    <w:rsid w:val="00DA5612"/>
    <w:rsid w:val="00DB0C47"/>
    <w:rsid w:val="00DB443E"/>
    <w:rsid w:val="00DC03DF"/>
    <w:rsid w:val="00DC0C58"/>
    <w:rsid w:val="00DC34FC"/>
    <w:rsid w:val="00DC5610"/>
    <w:rsid w:val="00DC770D"/>
    <w:rsid w:val="00DF2972"/>
    <w:rsid w:val="00DF5E35"/>
    <w:rsid w:val="00E0085F"/>
    <w:rsid w:val="00E11B9E"/>
    <w:rsid w:val="00E13896"/>
    <w:rsid w:val="00E16FAA"/>
    <w:rsid w:val="00E174F2"/>
    <w:rsid w:val="00E27EE6"/>
    <w:rsid w:val="00E3314A"/>
    <w:rsid w:val="00E33D24"/>
    <w:rsid w:val="00E372C0"/>
    <w:rsid w:val="00E373B7"/>
    <w:rsid w:val="00E40E8F"/>
    <w:rsid w:val="00E50C4F"/>
    <w:rsid w:val="00E51193"/>
    <w:rsid w:val="00E51F89"/>
    <w:rsid w:val="00E57922"/>
    <w:rsid w:val="00E6594D"/>
    <w:rsid w:val="00E81E64"/>
    <w:rsid w:val="00E84EAD"/>
    <w:rsid w:val="00E856FC"/>
    <w:rsid w:val="00EA0284"/>
    <w:rsid w:val="00EA4996"/>
    <w:rsid w:val="00EB1D92"/>
    <w:rsid w:val="00EB74F8"/>
    <w:rsid w:val="00EC5C0D"/>
    <w:rsid w:val="00ED27B6"/>
    <w:rsid w:val="00EE4449"/>
    <w:rsid w:val="00EE5291"/>
    <w:rsid w:val="00F02293"/>
    <w:rsid w:val="00F06710"/>
    <w:rsid w:val="00F13EAE"/>
    <w:rsid w:val="00F13FA4"/>
    <w:rsid w:val="00F1490E"/>
    <w:rsid w:val="00F2043B"/>
    <w:rsid w:val="00F3705A"/>
    <w:rsid w:val="00F43E35"/>
    <w:rsid w:val="00F448F6"/>
    <w:rsid w:val="00F55662"/>
    <w:rsid w:val="00F67555"/>
    <w:rsid w:val="00F804D1"/>
    <w:rsid w:val="00F8555B"/>
    <w:rsid w:val="00F87E6C"/>
    <w:rsid w:val="00F9436E"/>
    <w:rsid w:val="00F97FEE"/>
    <w:rsid w:val="00FB1DBC"/>
    <w:rsid w:val="00FC21BE"/>
    <w:rsid w:val="00FC2561"/>
    <w:rsid w:val="00FC5DD0"/>
    <w:rsid w:val="00FC6BAD"/>
    <w:rsid w:val="00FE4ACD"/>
    <w:rsid w:val="00FE7278"/>
    <w:rsid w:val="00FF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5EE37"/>
  <w14:defaultImageDpi w14:val="300"/>
  <w15:docId w15:val="{5ED38C12-A799-4BE1-BAB9-C86315E7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6EB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8F"/>
    <w:pPr>
      <w:ind w:left="720"/>
      <w:contextualSpacing/>
    </w:pPr>
  </w:style>
  <w:style w:type="paragraph" w:styleId="FootnoteText">
    <w:name w:val="footnote text"/>
    <w:basedOn w:val="Normal"/>
    <w:link w:val="FootnoteTextChar"/>
    <w:uiPriority w:val="99"/>
    <w:unhideWhenUsed/>
    <w:rsid w:val="004F3082"/>
  </w:style>
  <w:style w:type="character" w:customStyle="1" w:styleId="FootnoteTextChar">
    <w:name w:val="Footnote Text Char"/>
    <w:basedOn w:val="DefaultParagraphFont"/>
    <w:link w:val="FootnoteText"/>
    <w:uiPriority w:val="99"/>
    <w:rsid w:val="004F3082"/>
  </w:style>
  <w:style w:type="character" w:styleId="FootnoteReference">
    <w:name w:val="footnote reference"/>
    <w:basedOn w:val="DefaultParagraphFont"/>
    <w:uiPriority w:val="99"/>
    <w:unhideWhenUsed/>
    <w:rsid w:val="004F3082"/>
    <w:rPr>
      <w:vertAlign w:val="superscript"/>
    </w:rPr>
  </w:style>
  <w:style w:type="character" w:styleId="Hyperlink">
    <w:name w:val="Hyperlink"/>
    <w:basedOn w:val="DefaultParagraphFont"/>
    <w:uiPriority w:val="99"/>
    <w:unhideWhenUsed/>
    <w:rsid w:val="00A473DE"/>
    <w:rPr>
      <w:color w:val="0000FF" w:themeColor="hyperlink"/>
      <w:u w:val="single"/>
    </w:rPr>
  </w:style>
  <w:style w:type="character" w:styleId="Emphasis">
    <w:name w:val="Emphasis"/>
    <w:basedOn w:val="DefaultParagraphFont"/>
    <w:uiPriority w:val="20"/>
    <w:qFormat/>
    <w:rsid w:val="0075488B"/>
    <w:rPr>
      <w:i/>
      <w:iCs/>
    </w:rPr>
  </w:style>
  <w:style w:type="character" w:customStyle="1" w:styleId="Heading1Char">
    <w:name w:val="Heading 1 Char"/>
    <w:basedOn w:val="DefaultParagraphFont"/>
    <w:link w:val="Heading1"/>
    <w:uiPriority w:val="9"/>
    <w:rsid w:val="00566EB5"/>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245257"/>
  </w:style>
  <w:style w:type="paragraph" w:styleId="Footer">
    <w:name w:val="footer"/>
    <w:basedOn w:val="Normal"/>
    <w:link w:val="FooterChar"/>
    <w:uiPriority w:val="99"/>
    <w:unhideWhenUsed/>
    <w:rsid w:val="008C2B5B"/>
    <w:pPr>
      <w:tabs>
        <w:tab w:val="center" w:pos="4320"/>
        <w:tab w:val="right" w:pos="8640"/>
      </w:tabs>
    </w:pPr>
  </w:style>
  <w:style w:type="character" w:customStyle="1" w:styleId="FooterChar">
    <w:name w:val="Footer Char"/>
    <w:basedOn w:val="DefaultParagraphFont"/>
    <w:link w:val="Footer"/>
    <w:uiPriority w:val="99"/>
    <w:rsid w:val="008C2B5B"/>
  </w:style>
  <w:style w:type="character" w:styleId="PageNumber">
    <w:name w:val="page number"/>
    <w:basedOn w:val="DefaultParagraphFont"/>
    <w:uiPriority w:val="99"/>
    <w:semiHidden/>
    <w:unhideWhenUsed/>
    <w:rsid w:val="008C2B5B"/>
  </w:style>
  <w:style w:type="paragraph" w:styleId="BalloonText">
    <w:name w:val="Balloon Text"/>
    <w:basedOn w:val="Normal"/>
    <w:link w:val="BalloonTextChar"/>
    <w:uiPriority w:val="99"/>
    <w:semiHidden/>
    <w:unhideWhenUsed/>
    <w:rsid w:val="00CC5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CC8"/>
    <w:rPr>
      <w:rFonts w:ascii="Segoe UI" w:hAnsi="Segoe UI" w:cs="Segoe UI"/>
      <w:sz w:val="18"/>
      <w:szCs w:val="18"/>
    </w:rPr>
  </w:style>
  <w:style w:type="paragraph" w:styleId="Header">
    <w:name w:val="header"/>
    <w:basedOn w:val="Normal"/>
    <w:link w:val="HeaderChar"/>
    <w:uiPriority w:val="99"/>
    <w:unhideWhenUsed/>
    <w:rsid w:val="001D7F94"/>
    <w:pPr>
      <w:tabs>
        <w:tab w:val="center" w:pos="4513"/>
        <w:tab w:val="right" w:pos="9026"/>
      </w:tabs>
    </w:pPr>
  </w:style>
  <w:style w:type="character" w:customStyle="1" w:styleId="HeaderChar">
    <w:name w:val="Header Char"/>
    <w:basedOn w:val="DefaultParagraphFont"/>
    <w:link w:val="Header"/>
    <w:uiPriority w:val="99"/>
    <w:rsid w:val="001D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2417">
      <w:bodyDiv w:val="1"/>
      <w:marLeft w:val="0"/>
      <w:marRight w:val="0"/>
      <w:marTop w:val="0"/>
      <w:marBottom w:val="0"/>
      <w:divBdr>
        <w:top w:val="none" w:sz="0" w:space="0" w:color="auto"/>
        <w:left w:val="none" w:sz="0" w:space="0" w:color="auto"/>
        <w:bottom w:val="none" w:sz="0" w:space="0" w:color="auto"/>
        <w:right w:val="none" w:sz="0" w:space="0" w:color="auto"/>
      </w:divBdr>
    </w:div>
    <w:div w:id="128520931">
      <w:bodyDiv w:val="1"/>
      <w:marLeft w:val="0"/>
      <w:marRight w:val="0"/>
      <w:marTop w:val="0"/>
      <w:marBottom w:val="0"/>
      <w:divBdr>
        <w:top w:val="none" w:sz="0" w:space="0" w:color="auto"/>
        <w:left w:val="none" w:sz="0" w:space="0" w:color="auto"/>
        <w:bottom w:val="none" w:sz="0" w:space="0" w:color="auto"/>
        <w:right w:val="none" w:sz="0" w:space="0" w:color="auto"/>
      </w:divBdr>
      <w:divsChild>
        <w:div w:id="1703435597">
          <w:marLeft w:val="547"/>
          <w:marRight w:val="0"/>
          <w:marTop w:val="134"/>
          <w:marBottom w:val="0"/>
          <w:divBdr>
            <w:top w:val="none" w:sz="0" w:space="0" w:color="auto"/>
            <w:left w:val="none" w:sz="0" w:space="0" w:color="auto"/>
            <w:bottom w:val="none" w:sz="0" w:space="0" w:color="auto"/>
            <w:right w:val="none" w:sz="0" w:space="0" w:color="auto"/>
          </w:divBdr>
        </w:div>
        <w:div w:id="2080596132">
          <w:marLeft w:val="547"/>
          <w:marRight w:val="0"/>
          <w:marTop w:val="134"/>
          <w:marBottom w:val="0"/>
          <w:divBdr>
            <w:top w:val="none" w:sz="0" w:space="0" w:color="auto"/>
            <w:left w:val="none" w:sz="0" w:space="0" w:color="auto"/>
            <w:bottom w:val="none" w:sz="0" w:space="0" w:color="auto"/>
            <w:right w:val="none" w:sz="0" w:space="0" w:color="auto"/>
          </w:divBdr>
        </w:div>
      </w:divsChild>
    </w:div>
    <w:div w:id="293609801">
      <w:bodyDiv w:val="1"/>
      <w:marLeft w:val="0"/>
      <w:marRight w:val="0"/>
      <w:marTop w:val="0"/>
      <w:marBottom w:val="0"/>
      <w:divBdr>
        <w:top w:val="none" w:sz="0" w:space="0" w:color="auto"/>
        <w:left w:val="none" w:sz="0" w:space="0" w:color="auto"/>
        <w:bottom w:val="none" w:sz="0" w:space="0" w:color="auto"/>
        <w:right w:val="none" w:sz="0" w:space="0" w:color="auto"/>
      </w:divBdr>
    </w:div>
    <w:div w:id="335113609">
      <w:bodyDiv w:val="1"/>
      <w:marLeft w:val="0"/>
      <w:marRight w:val="0"/>
      <w:marTop w:val="0"/>
      <w:marBottom w:val="0"/>
      <w:divBdr>
        <w:top w:val="none" w:sz="0" w:space="0" w:color="auto"/>
        <w:left w:val="none" w:sz="0" w:space="0" w:color="auto"/>
        <w:bottom w:val="none" w:sz="0" w:space="0" w:color="auto"/>
        <w:right w:val="none" w:sz="0" w:space="0" w:color="auto"/>
      </w:divBdr>
    </w:div>
    <w:div w:id="379786894">
      <w:bodyDiv w:val="1"/>
      <w:marLeft w:val="0"/>
      <w:marRight w:val="0"/>
      <w:marTop w:val="0"/>
      <w:marBottom w:val="0"/>
      <w:divBdr>
        <w:top w:val="none" w:sz="0" w:space="0" w:color="auto"/>
        <w:left w:val="none" w:sz="0" w:space="0" w:color="auto"/>
        <w:bottom w:val="none" w:sz="0" w:space="0" w:color="auto"/>
        <w:right w:val="none" w:sz="0" w:space="0" w:color="auto"/>
      </w:divBdr>
    </w:div>
    <w:div w:id="470295984">
      <w:bodyDiv w:val="1"/>
      <w:marLeft w:val="0"/>
      <w:marRight w:val="0"/>
      <w:marTop w:val="0"/>
      <w:marBottom w:val="0"/>
      <w:divBdr>
        <w:top w:val="none" w:sz="0" w:space="0" w:color="auto"/>
        <w:left w:val="none" w:sz="0" w:space="0" w:color="auto"/>
        <w:bottom w:val="none" w:sz="0" w:space="0" w:color="auto"/>
        <w:right w:val="none" w:sz="0" w:space="0" w:color="auto"/>
      </w:divBdr>
    </w:div>
    <w:div w:id="517501507">
      <w:bodyDiv w:val="1"/>
      <w:marLeft w:val="0"/>
      <w:marRight w:val="0"/>
      <w:marTop w:val="0"/>
      <w:marBottom w:val="0"/>
      <w:divBdr>
        <w:top w:val="none" w:sz="0" w:space="0" w:color="auto"/>
        <w:left w:val="none" w:sz="0" w:space="0" w:color="auto"/>
        <w:bottom w:val="none" w:sz="0" w:space="0" w:color="auto"/>
        <w:right w:val="none" w:sz="0" w:space="0" w:color="auto"/>
      </w:divBdr>
    </w:div>
    <w:div w:id="579291264">
      <w:bodyDiv w:val="1"/>
      <w:marLeft w:val="0"/>
      <w:marRight w:val="0"/>
      <w:marTop w:val="0"/>
      <w:marBottom w:val="0"/>
      <w:divBdr>
        <w:top w:val="none" w:sz="0" w:space="0" w:color="auto"/>
        <w:left w:val="none" w:sz="0" w:space="0" w:color="auto"/>
        <w:bottom w:val="none" w:sz="0" w:space="0" w:color="auto"/>
        <w:right w:val="none" w:sz="0" w:space="0" w:color="auto"/>
      </w:divBdr>
    </w:div>
    <w:div w:id="678434300">
      <w:bodyDiv w:val="1"/>
      <w:marLeft w:val="0"/>
      <w:marRight w:val="0"/>
      <w:marTop w:val="0"/>
      <w:marBottom w:val="0"/>
      <w:divBdr>
        <w:top w:val="none" w:sz="0" w:space="0" w:color="auto"/>
        <w:left w:val="none" w:sz="0" w:space="0" w:color="auto"/>
        <w:bottom w:val="none" w:sz="0" w:space="0" w:color="auto"/>
        <w:right w:val="none" w:sz="0" w:space="0" w:color="auto"/>
      </w:divBdr>
    </w:div>
    <w:div w:id="678890232">
      <w:bodyDiv w:val="1"/>
      <w:marLeft w:val="0"/>
      <w:marRight w:val="0"/>
      <w:marTop w:val="0"/>
      <w:marBottom w:val="0"/>
      <w:divBdr>
        <w:top w:val="none" w:sz="0" w:space="0" w:color="auto"/>
        <w:left w:val="none" w:sz="0" w:space="0" w:color="auto"/>
        <w:bottom w:val="none" w:sz="0" w:space="0" w:color="auto"/>
        <w:right w:val="none" w:sz="0" w:space="0" w:color="auto"/>
      </w:divBdr>
    </w:div>
    <w:div w:id="696857820">
      <w:bodyDiv w:val="1"/>
      <w:marLeft w:val="0"/>
      <w:marRight w:val="0"/>
      <w:marTop w:val="0"/>
      <w:marBottom w:val="0"/>
      <w:divBdr>
        <w:top w:val="none" w:sz="0" w:space="0" w:color="auto"/>
        <w:left w:val="none" w:sz="0" w:space="0" w:color="auto"/>
        <w:bottom w:val="none" w:sz="0" w:space="0" w:color="auto"/>
        <w:right w:val="none" w:sz="0" w:space="0" w:color="auto"/>
      </w:divBdr>
    </w:div>
    <w:div w:id="783232731">
      <w:bodyDiv w:val="1"/>
      <w:marLeft w:val="0"/>
      <w:marRight w:val="0"/>
      <w:marTop w:val="0"/>
      <w:marBottom w:val="0"/>
      <w:divBdr>
        <w:top w:val="none" w:sz="0" w:space="0" w:color="auto"/>
        <w:left w:val="none" w:sz="0" w:space="0" w:color="auto"/>
        <w:bottom w:val="none" w:sz="0" w:space="0" w:color="auto"/>
        <w:right w:val="none" w:sz="0" w:space="0" w:color="auto"/>
      </w:divBdr>
    </w:div>
    <w:div w:id="979378733">
      <w:bodyDiv w:val="1"/>
      <w:marLeft w:val="0"/>
      <w:marRight w:val="0"/>
      <w:marTop w:val="0"/>
      <w:marBottom w:val="0"/>
      <w:divBdr>
        <w:top w:val="none" w:sz="0" w:space="0" w:color="auto"/>
        <w:left w:val="none" w:sz="0" w:space="0" w:color="auto"/>
        <w:bottom w:val="none" w:sz="0" w:space="0" w:color="auto"/>
        <w:right w:val="none" w:sz="0" w:space="0" w:color="auto"/>
      </w:divBdr>
    </w:div>
    <w:div w:id="980580116">
      <w:bodyDiv w:val="1"/>
      <w:marLeft w:val="0"/>
      <w:marRight w:val="0"/>
      <w:marTop w:val="0"/>
      <w:marBottom w:val="0"/>
      <w:divBdr>
        <w:top w:val="none" w:sz="0" w:space="0" w:color="auto"/>
        <w:left w:val="none" w:sz="0" w:space="0" w:color="auto"/>
        <w:bottom w:val="none" w:sz="0" w:space="0" w:color="auto"/>
        <w:right w:val="none" w:sz="0" w:space="0" w:color="auto"/>
      </w:divBdr>
    </w:div>
    <w:div w:id="1062486977">
      <w:bodyDiv w:val="1"/>
      <w:marLeft w:val="0"/>
      <w:marRight w:val="0"/>
      <w:marTop w:val="0"/>
      <w:marBottom w:val="0"/>
      <w:divBdr>
        <w:top w:val="none" w:sz="0" w:space="0" w:color="auto"/>
        <w:left w:val="none" w:sz="0" w:space="0" w:color="auto"/>
        <w:bottom w:val="none" w:sz="0" w:space="0" w:color="auto"/>
        <w:right w:val="none" w:sz="0" w:space="0" w:color="auto"/>
      </w:divBdr>
    </w:div>
    <w:div w:id="1084644075">
      <w:bodyDiv w:val="1"/>
      <w:marLeft w:val="0"/>
      <w:marRight w:val="0"/>
      <w:marTop w:val="0"/>
      <w:marBottom w:val="0"/>
      <w:divBdr>
        <w:top w:val="none" w:sz="0" w:space="0" w:color="auto"/>
        <w:left w:val="none" w:sz="0" w:space="0" w:color="auto"/>
        <w:bottom w:val="none" w:sz="0" w:space="0" w:color="auto"/>
        <w:right w:val="none" w:sz="0" w:space="0" w:color="auto"/>
      </w:divBdr>
    </w:div>
    <w:div w:id="1118375594">
      <w:bodyDiv w:val="1"/>
      <w:marLeft w:val="0"/>
      <w:marRight w:val="0"/>
      <w:marTop w:val="0"/>
      <w:marBottom w:val="0"/>
      <w:divBdr>
        <w:top w:val="none" w:sz="0" w:space="0" w:color="auto"/>
        <w:left w:val="none" w:sz="0" w:space="0" w:color="auto"/>
        <w:bottom w:val="none" w:sz="0" w:space="0" w:color="auto"/>
        <w:right w:val="none" w:sz="0" w:space="0" w:color="auto"/>
      </w:divBdr>
    </w:div>
    <w:div w:id="1121924826">
      <w:bodyDiv w:val="1"/>
      <w:marLeft w:val="0"/>
      <w:marRight w:val="0"/>
      <w:marTop w:val="0"/>
      <w:marBottom w:val="0"/>
      <w:divBdr>
        <w:top w:val="none" w:sz="0" w:space="0" w:color="auto"/>
        <w:left w:val="none" w:sz="0" w:space="0" w:color="auto"/>
        <w:bottom w:val="none" w:sz="0" w:space="0" w:color="auto"/>
        <w:right w:val="none" w:sz="0" w:space="0" w:color="auto"/>
      </w:divBdr>
    </w:div>
    <w:div w:id="1153108826">
      <w:bodyDiv w:val="1"/>
      <w:marLeft w:val="0"/>
      <w:marRight w:val="0"/>
      <w:marTop w:val="0"/>
      <w:marBottom w:val="0"/>
      <w:divBdr>
        <w:top w:val="none" w:sz="0" w:space="0" w:color="auto"/>
        <w:left w:val="none" w:sz="0" w:space="0" w:color="auto"/>
        <w:bottom w:val="none" w:sz="0" w:space="0" w:color="auto"/>
        <w:right w:val="none" w:sz="0" w:space="0" w:color="auto"/>
      </w:divBdr>
    </w:div>
    <w:div w:id="1197305739">
      <w:bodyDiv w:val="1"/>
      <w:marLeft w:val="0"/>
      <w:marRight w:val="0"/>
      <w:marTop w:val="0"/>
      <w:marBottom w:val="0"/>
      <w:divBdr>
        <w:top w:val="none" w:sz="0" w:space="0" w:color="auto"/>
        <w:left w:val="none" w:sz="0" w:space="0" w:color="auto"/>
        <w:bottom w:val="none" w:sz="0" w:space="0" w:color="auto"/>
        <w:right w:val="none" w:sz="0" w:space="0" w:color="auto"/>
      </w:divBdr>
    </w:div>
    <w:div w:id="1315138689">
      <w:bodyDiv w:val="1"/>
      <w:marLeft w:val="0"/>
      <w:marRight w:val="0"/>
      <w:marTop w:val="0"/>
      <w:marBottom w:val="0"/>
      <w:divBdr>
        <w:top w:val="none" w:sz="0" w:space="0" w:color="auto"/>
        <w:left w:val="none" w:sz="0" w:space="0" w:color="auto"/>
        <w:bottom w:val="none" w:sz="0" w:space="0" w:color="auto"/>
        <w:right w:val="none" w:sz="0" w:space="0" w:color="auto"/>
      </w:divBdr>
    </w:div>
    <w:div w:id="1324359497">
      <w:bodyDiv w:val="1"/>
      <w:marLeft w:val="0"/>
      <w:marRight w:val="0"/>
      <w:marTop w:val="0"/>
      <w:marBottom w:val="0"/>
      <w:divBdr>
        <w:top w:val="none" w:sz="0" w:space="0" w:color="auto"/>
        <w:left w:val="none" w:sz="0" w:space="0" w:color="auto"/>
        <w:bottom w:val="none" w:sz="0" w:space="0" w:color="auto"/>
        <w:right w:val="none" w:sz="0" w:space="0" w:color="auto"/>
      </w:divBdr>
    </w:div>
    <w:div w:id="1419789345">
      <w:bodyDiv w:val="1"/>
      <w:marLeft w:val="0"/>
      <w:marRight w:val="0"/>
      <w:marTop w:val="0"/>
      <w:marBottom w:val="0"/>
      <w:divBdr>
        <w:top w:val="none" w:sz="0" w:space="0" w:color="auto"/>
        <w:left w:val="none" w:sz="0" w:space="0" w:color="auto"/>
        <w:bottom w:val="none" w:sz="0" w:space="0" w:color="auto"/>
        <w:right w:val="none" w:sz="0" w:space="0" w:color="auto"/>
      </w:divBdr>
    </w:div>
    <w:div w:id="1531188452">
      <w:bodyDiv w:val="1"/>
      <w:marLeft w:val="0"/>
      <w:marRight w:val="0"/>
      <w:marTop w:val="0"/>
      <w:marBottom w:val="0"/>
      <w:divBdr>
        <w:top w:val="none" w:sz="0" w:space="0" w:color="auto"/>
        <w:left w:val="none" w:sz="0" w:space="0" w:color="auto"/>
        <w:bottom w:val="none" w:sz="0" w:space="0" w:color="auto"/>
        <w:right w:val="none" w:sz="0" w:space="0" w:color="auto"/>
      </w:divBdr>
    </w:div>
    <w:div w:id="1549489399">
      <w:bodyDiv w:val="1"/>
      <w:marLeft w:val="0"/>
      <w:marRight w:val="0"/>
      <w:marTop w:val="0"/>
      <w:marBottom w:val="0"/>
      <w:divBdr>
        <w:top w:val="none" w:sz="0" w:space="0" w:color="auto"/>
        <w:left w:val="none" w:sz="0" w:space="0" w:color="auto"/>
        <w:bottom w:val="none" w:sz="0" w:space="0" w:color="auto"/>
        <w:right w:val="none" w:sz="0" w:space="0" w:color="auto"/>
      </w:divBdr>
    </w:div>
    <w:div w:id="1800995692">
      <w:bodyDiv w:val="1"/>
      <w:marLeft w:val="0"/>
      <w:marRight w:val="0"/>
      <w:marTop w:val="0"/>
      <w:marBottom w:val="0"/>
      <w:divBdr>
        <w:top w:val="none" w:sz="0" w:space="0" w:color="auto"/>
        <w:left w:val="none" w:sz="0" w:space="0" w:color="auto"/>
        <w:bottom w:val="none" w:sz="0" w:space="0" w:color="auto"/>
        <w:right w:val="none" w:sz="0" w:space="0" w:color="auto"/>
      </w:divBdr>
    </w:div>
    <w:div w:id="1804930406">
      <w:bodyDiv w:val="1"/>
      <w:marLeft w:val="0"/>
      <w:marRight w:val="0"/>
      <w:marTop w:val="0"/>
      <w:marBottom w:val="0"/>
      <w:divBdr>
        <w:top w:val="none" w:sz="0" w:space="0" w:color="auto"/>
        <w:left w:val="none" w:sz="0" w:space="0" w:color="auto"/>
        <w:bottom w:val="none" w:sz="0" w:space="0" w:color="auto"/>
        <w:right w:val="none" w:sz="0" w:space="0" w:color="auto"/>
      </w:divBdr>
    </w:div>
    <w:div w:id="1840387317">
      <w:bodyDiv w:val="1"/>
      <w:marLeft w:val="0"/>
      <w:marRight w:val="0"/>
      <w:marTop w:val="0"/>
      <w:marBottom w:val="0"/>
      <w:divBdr>
        <w:top w:val="none" w:sz="0" w:space="0" w:color="auto"/>
        <w:left w:val="none" w:sz="0" w:space="0" w:color="auto"/>
        <w:bottom w:val="none" w:sz="0" w:space="0" w:color="auto"/>
        <w:right w:val="none" w:sz="0" w:space="0" w:color="auto"/>
      </w:divBdr>
    </w:div>
    <w:div w:id="1851331005">
      <w:bodyDiv w:val="1"/>
      <w:marLeft w:val="0"/>
      <w:marRight w:val="0"/>
      <w:marTop w:val="0"/>
      <w:marBottom w:val="0"/>
      <w:divBdr>
        <w:top w:val="none" w:sz="0" w:space="0" w:color="auto"/>
        <w:left w:val="none" w:sz="0" w:space="0" w:color="auto"/>
        <w:bottom w:val="none" w:sz="0" w:space="0" w:color="auto"/>
        <w:right w:val="none" w:sz="0" w:space="0" w:color="auto"/>
      </w:divBdr>
    </w:div>
    <w:div w:id="1897279060">
      <w:bodyDiv w:val="1"/>
      <w:marLeft w:val="0"/>
      <w:marRight w:val="0"/>
      <w:marTop w:val="0"/>
      <w:marBottom w:val="0"/>
      <w:divBdr>
        <w:top w:val="none" w:sz="0" w:space="0" w:color="auto"/>
        <w:left w:val="none" w:sz="0" w:space="0" w:color="auto"/>
        <w:bottom w:val="none" w:sz="0" w:space="0" w:color="auto"/>
        <w:right w:val="none" w:sz="0" w:space="0" w:color="auto"/>
      </w:divBdr>
    </w:div>
    <w:div w:id="1972898594">
      <w:bodyDiv w:val="1"/>
      <w:marLeft w:val="0"/>
      <w:marRight w:val="0"/>
      <w:marTop w:val="0"/>
      <w:marBottom w:val="0"/>
      <w:divBdr>
        <w:top w:val="none" w:sz="0" w:space="0" w:color="auto"/>
        <w:left w:val="none" w:sz="0" w:space="0" w:color="auto"/>
        <w:bottom w:val="none" w:sz="0" w:space="0" w:color="auto"/>
        <w:right w:val="none" w:sz="0" w:space="0" w:color="auto"/>
      </w:divBdr>
    </w:div>
    <w:div w:id="1986425703">
      <w:bodyDiv w:val="1"/>
      <w:marLeft w:val="0"/>
      <w:marRight w:val="0"/>
      <w:marTop w:val="0"/>
      <w:marBottom w:val="0"/>
      <w:divBdr>
        <w:top w:val="none" w:sz="0" w:space="0" w:color="auto"/>
        <w:left w:val="none" w:sz="0" w:space="0" w:color="auto"/>
        <w:bottom w:val="none" w:sz="0" w:space="0" w:color="auto"/>
        <w:right w:val="none" w:sz="0" w:space="0" w:color="auto"/>
      </w:divBdr>
    </w:div>
    <w:div w:id="2071995854">
      <w:bodyDiv w:val="1"/>
      <w:marLeft w:val="0"/>
      <w:marRight w:val="0"/>
      <w:marTop w:val="0"/>
      <w:marBottom w:val="0"/>
      <w:divBdr>
        <w:top w:val="none" w:sz="0" w:space="0" w:color="auto"/>
        <w:left w:val="none" w:sz="0" w:space="0" w:color="auto"/>
        <w:bottom w:val="none" w:sz="0" w:space="0" w:color="auto"/>
        <w:right w:val="none" w:sz="0" w:space="0" w:color="auto"/>
      </w:divBdr>
    </w:div>
    <w:div w:id="2120951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Stern</dc:creator>
  <cp:keywords/>
  <dc:description/>
  <cp:lastModifiedBy>magd5557</cp:lastModifiedBy>
  <cp:revision>2</cp:revision>
  <cp:lastPrinted>2017-10-18T17:41:00Z</cp:lastPrinted>
  <dcterms:created xsi:type="dcterms:W3CDTF">2021-02-25T12:09:00Z</dcterms:created>
  <dcterms:modified xsi:type="dcterms:W3CDTF">2021-02-25T12:09:00Z</dcterms:modified>
</cp:coreProperties>
</file>