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B5D" w:rsidRPr="00680B5D" w:rsidRDefault="00680B5D" w:rsidP="00680B5D">
      <w:pPr>
        <w:shd w:val="clear" w:color="auto" w:fill="FFFFFF"/>
        <w:spacing w:before="100" w:beforeAutospacing="1" w:after="100" w:afterAutospacing="1" w:line="240" w:lineRule="auto"/>
        <w:outlineLvl w:val="0"/>
        <w:rPr>
          <w:rFonts w:ascii="Arial Black" w:eastAsia="Times New Roman" w:hAnsi="Arial Black" w:cs="Times New Roman"/>
          <w:color w:val="111111"/>
          <w:spacing w:val="1"/>
          <w:sz w:val="20"/>
          <w:szCs w:val="20"/>
          <w:lang w:eastAsia="en-GB"/>
        </w:rPr>
      </w:pPr>
      <w:r w:rsidRPr="00680B5D">
        <w:rPr>
          <w:rFonts w:ascii="Arial Black" w:eastAsia="Times New Roman" w:hAnsi="Arial Black" w:cs="Times New Roman"/>
          <w:color w:val="111111"/>
          <w:spacing w:val="1"/>
          <w:kern w:val="36"/>
          <w:sz w:val="20"/>
          <w:szCs w:val="20"/>
          <w:lang w:eastAsia="en-GB"/>
        </w:rPr>
        <w:t>LIBOR: What the London Interbank Offered Rate Is, How It's Used</w:t>
      </w:r>
      <w:r w:rsidRPr="00680B5D">
        <w:rPr>
          <w:rFonts w:ascii="Arial Black" w:eastAsia="Times New Roman" w:hAnsi="Arial Black" w:cs="Times New Roman"/>
          <w:color w:val="111111"/>
          <w:spacing w:val="1"/>
          <w:kern w:val="36"/>
          <w:sz w:val="20"/>
          <w:szCs w:val="20"/>
          <w:lang w:eastAsia="en-GB"/>
        </w:rPr>
        <w:tab/>
      </w:r>
      <w:hyperlink r:id="rId7" w:history="1">
        <w:r w:rsidRPr="00680B5D">
          <w:rPr>
            <w:rFonts w:ascii="Arial Black" w:eastAsia="Times New Roman" w:hAnsi="Arial Black" w:cs="Times New Roman"/>
            <w:color w:val="111111"/>
            <w:spacing w:val="1"/>
            <w:sz w:val="20"/>
            <w:szCs w:val="20"/>
            <w:lang w:eastAsia="en-GB"/>
          </w:rPr>
          <w:t xml:space="preserve">Julia </w:t>
        </w:r>
        <w:proofErr w:type="spellStart"/>
        <w:r w:rsidRPr="00680B5D">
          <w:rPr>
            <w:rFonts w:ascii="Arial Black" w:eastAsia="Times New Roman" w:hAnsi="Arial Black" w:cs="Times New Roman"/>
            <w:color w:val="111111"/>
            <w:spacing w:val="1"/>
            <w:sz w:val="20"/>
            <w:szCs w:val="20"/>
            <w:lang w:eastAsia="en-GB"/>
          </w:rPr>
          <w:t>Kagan</w:t>
        </w:r>
      </w:hyperlink>
      <w:proofErr w:type="spellEnd"/>
    </w:p>
    <w:p w:rsidR="00680B5D" w:rsidRPr="00680B5D" w:rsidRDefault="00680B5D" w:rsidP="00680B5D">
      <w:pPr>
        <w:shd w:val="clear" w:color="auto" w:fill="FFFFFF"/>
        <w:spacing w:before="100" w:beforeAutospacing="1" w:after="100" w:afterAutospacing="1" w:line="240" w:lineRule="auto"/>
        <w:outlineLvl w:val="0"/>
        <w:rPr>
          <w:rFonts w:ascii="Arial Black" w:eastAsia="Times New Roman" w:hAnsi="Arial Black" w:cs="Times New Roman"/>
          <w:color w:val="111111"/>
          <w:spacing w:val="1"/>
          <w:sz w:val="20"/>
          <w:szCs w:val="20"/>
          <w:lang w:eastAsia="en-GB"/>
        </w:rPr>
      </w:pPr>
      <w:r w:rsidRPr="00680B5D">
        <w:rPr>
          <w:rFonts w:ascii="Arial Black" w:eastAsia="Times New Roman" w:hAnsi="Arial Black" w:cs="Times New Roman"/>
          <w:color w:val="111111"/>
          <w:spacing w:val="1"/>
          <w:sz w:val="20"/>
          <w:szCs w:val="20"/>
          <w:lang w:eastAsia="en-GB"/>
        </w:rPr>
        <w:t>What Is London Interbank Offered Rate (LIBOR)?</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The London Interbank Offered Rate (LIBOR) is a </w:t>
      </w:r>
      <w:hyperlink r:id="rId8" w:history="1">
        <w:r w:rsidRPr="00680B5D">
          <w:rPr>
            <w:rFonts w:ascii="Times New Roman" w:eastAsia="Times New Roman" w:hAnsi="Times New Roman" w:cs="Times New Roman"/>
            <w:color w:val="2C40D0"/>
            <w:spacing w:val="1"/>
            <w:sz w:val="20"/>
            <w:szCs w:val="20"/>
            <w:u w:val="single"/>
            <w:lang w:eastAsia="en-GB"/>
          </w:rPr>
          <w:t>benchmark</w:t>
        </w:r>
      </w:hyperlink>
      <w:r w:rsidRPr="00680B5D">
        <w:rPr>
          <w:rFonts w:ascii="Times New Roman" w:eastAsia="Times New Roman" w:hAnsi="Times New Roman" w:cs="Times New Roman"/>
          <w:color w:val="111111"/>
          <w:spacing w:val="1"/>
          <w:sz w:val="20"/>
          <w:szCs w:val="20"/>
          <w:lang w:eastAsia="en-GB"/>
        </w:rPr>
        <w:t> interest rate at which major global banks lend to one another in the international interbank market for short-term loans.</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LIBOR, which stands for London Interbank Offered Rate, serves as a globally accepted key benchmark interest rate that indicates borrowing costs between banks. The rate is calculated and will continue to be published each day by the </w:t>
      </w:r>
      <w:hyperlink r:id="rId9" w:history="1">
        <w:r w:rsidRPr="00680B5D">
          <w:rPr>
            <w:rFonts w:ascii="Times New Roman" w:eastAsia="Times New Roman" w:hAnsi="Times New Roman" w:cs="Times New Roman"/>
            <w:color w:val="2C40D0"/>
            <w:spacing w:val="1"/>
            <w:sz w:val="20"/>
            <w:szCs w:val="20"/>
            <w:u w:val="single"/>
            <w:lang w:eastAsia="en-GB"/>
          </w:rPr>
          <w:t>Intercontinental Exchange</w:t>
        </w:r>
      </w:hyperlink>
      <w:r w:rsidRPr="00680B5D">
        <w:rPr>
          <w:rFonts w:ascii="Times New Roman" w:eastAsia="Times New Roman" w:hAnsi="Times New Roman" w:cs="Times New Roman"/>
          <w:color w:val="111111"/>
          <w:spacing w:val="1"/>
          <w:sz w:val="20"/>
          <w:szCs w:val="20"/>
          <w:lang w:eastAsia="en-GB"/>
        </w:rPr>
        <w:t> (ICE), but due to recent scandals and questions around its validity as a benchmark rate, it is being phased out.</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According to the Federal Reserve and regulators in the UK, LIBOR will be phased out by June 30, 2023, and will be replaced by the </w:t>
      </w:r>
      <w:hyperlink r:id="rId10" w:history="1">
        <w:r w:rsidRPr="00680B5D">
          <w:rPr>
            <w:rFonts w:ascii="Times New Roman" w:eastAsia="Times New Roman" w:hAnsi="Times New Roman" w:cs="Times New Roman"/>
            <w:color w:val="2C40D0"/>
            <w:spacing w:val="1"/>
            <w:sz w:val="20"/>
            <w:szCs w:val="20"/>
            <w:u w:val="single"/>
            <w:lang w:eastAsia="en-GB"/>
          </w:rPr>
          <w:t>Secured Overnight Financing Rate</w:t>
        </w:r>
      </w:hyperlink>
      <w:r w:rsidRPr="00680B5D">
        <w:rPr>
          <w:rFonts w:ascii="Times New Roman" w:eastAsia="Times New Roman" w:hAnsi="Times New Roman" w:cs="Times New Roman"/>
          <w:color w:val="111111"/>
          <w:spacing w:val="1"/>
          <w:sz w:val="20"/>
          <w:szCs w:val="20"/>
          <w:lang w:eastAsia="en-GB"/>
        </w:rPr>
        <w:t> (SOFR). As part of this phase-out, LIBOR one-week and two-month USD LIBOR rates are no longer published as of Dec. 31, 2021.</w:t>
      </w:r>
      <w:r w:rsidRPr="00680B5D">
        <w:rPr>
          <w:rFonts w:ascii="Times New Roman" w:eastAsia="Times New Roman" w:hAnsi="Times New Roman" w:cs="Times New Roman"/>
          <w:color w:val="0000EE"/>
          <w:spacing w:val="17"/>
          <w:sz w:val="20"/>
          <w:szCs w:val="20"/>
          <w:lang w:eastAsia="en-GB"/>
        </w:rPr>
        <w:t>1</w:t>
      </w:r>
    </w:p>
    <w:p w:rsidR="00680B5D" w:rsidRPr="00680B5D" w:rsidRDefault="00680B5D" w:rsidP="00680B5D">
      <w:pPr>
        <w:shd w:val="clear" w:color="auto" w:fill="FFFFFF"/>
        <w:spacing w:after="0" w:line="240" w:lineRule="auto"/>
        <w:outlineLvl w:val="2"/>
        <w:rPr>
          <w:rFonts w:ascii="Times New Roman" w:eastAsia="Times New Roman" w:hAnsi="Times New Roman" w:cs="Times New Roman"/>
          <w:b/>
          <w:caps/>
          <w:color w:val="111111"/>
          <w:spacing w:val="1"/>
          <w:sz w:val="20"/>
          <w:szCs w:val="20"/>
          <w:lang w:eastAsia="en-GB"/>
        </w:rPr>
      </w:pPr>
      <w:r w:rsidRPr="00680B5D">
        <w:rPr>
          <w:rFonts w:ascii="Times New Roman" w:eastAsia="Times New Roman" w:hAnsi="Times New Roman" w:cs="Times New Roman"/>
          <w:b/>
          <w:caps/>
          <w:color w:val="111111"/>
          <w:spacing w:val="1"/>
          <w:sz w:val="20"/>
          <w:szCs w:val="20"/>
          <w:lang w:eastAsia="en-GB"/>
        </w:rPr>
        <w:t>KEY TAKEAWAYS</w:t>
      </w:r>
    </w:p>
    <w:p w:rsidR="00680B5D" w:rsidRPr="00680B5D" w:rsidRDefault="00680B5D" w:rsidP="00680B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LIBOR is the benchmark interest rate at which major global banks lend to one another.</w:t>
      </w:r>
    </w:p>
    <w:p w:rsidR="00680B5D" w:rsidRPr="00680B5D" w:rsidRDefault="00680B5D" w:rsidP="00680B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LIBOR is administered by the Intercontinental Exchange, which asks major global banks how much they would charge other banks for short-term loans.</w:t>
      </w:r>
    </w:p>
    <w:p w:rsidR="00680B5D" w:rsidRPr="00680B5D" w:rsidRDefault="00680B5D" w:rsidP="00680B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The rate is calculated using the Waterfall Methodology, a standardized, transaction-based, data-driven, layered method.</w:t>
      </w:r>
    </w:p>
    <w:p w:rsidR="00680B5D" w:rsidRPr="00680B5D" w:rsidRDefault="00680B5D" w:rsidP="00680B5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LIBOR has been subject to manipulation, scandal, and methodological critique, making it less credible today as a benchmark rate.</w:t>
      </w:r>
    </w:p>
    <w:p w:rsidR="00680B5D" w:rsidRPr="00680B5D" w:rsidRDefault="00680B5D" w:rsidP="00680B5D">
      <w:pPr>
        <w:numPr>
          <w:ilvl w:val="0"/>
          <w:numId w:val="1"/>
        </w:numPr>
        <w:shd w:val="clear" w:color="auto" w:fill="FFFFFF"/>
        <w:spacing w:before="100" w:beforeAutospacing="1" w:after="0" w:line="240" w:lineRule="auto"/>
        <w:rPr>
          <w:rFonts w:ascii="Times New Roman" w:eastAsia="Times New Roman" w:hAnsi="Times New Roman" w:cs="Times New Roman"/>
          <w:color w:val="FFFFFF"/>
          <w:spacing w:val="1"/>
          <w:sz w:val="20"/>
          <w:szCs w:val="20"/>
          <w:lang w:eastAsia="en-GB"/>
        </w:rPr>
      </w:pPr>
      <w:r w:rsidRPr="00680B5D">
        <w:rPr>
          <w:rFonts w:ascii="Times New Roman" w:eastAsia="Times New Roman" w:hAnsi="Times New Roman" w:cs="Times New Roman"/>
          <w:color w:val="111111"/>
          <w:spacing w:val="1"/>
          <w:sz w:val="20"/>
          <w:szCs w:val="20"/>
          <w:lang w:eastAsia="en-GB"/>
        </w:rPr>
        <w:t>LIBOR is being replaced by the Secured Overnight Financing Rate (SOFR) on June 30, 2023, with phase-out of its use beginning after 2021.</w:t>
      </w:r>
    </w:p>
    <w:p w:rsidR="00680B5D" w:rsidRPr="00680B5D" w:rsidRDefault="00680B5D" w:rsidP="00680B5D">
      <w:pPr>
        <w:shd w:val="clear" w:color="auto" w:fill="FFFFFF"/>
        <w:spacing w:before="100" w:beforeAutospacing="1" w:after="100" w:afterAutospacing="1" w:line="240" w:lineRule="auto"/>
        <w:outlineLvl w:val="3"/>
        <w:rPr>
          <w:rFonts w:ascii="Times New Roman" w:eastAsia="Times New Roman" w:hAnsi="Times New Roman" w:cs="Times New Roman"/>
          <w:b/>
          <w:bCs/>
          <w:color w:val="111111"/>
          <w:spacing w:val="1"/>
          <w:sz w:val="20"/>
          <w:szCs w:val="20"/>
          <w:lang w:eastAsia="en-GB"/>
        </w:rPr>
      </w:pPr>
      <w:r w:rsidRPr="00680B5D">
        <w:rPr>
          <w:rFonts w:ascii="Times New Roman" w:eastAsia="Times New Roman" w:hAnsi="Times New Roman" w:cs="Times New Roman"/>
          <w:b/>
          <w:bCs/>
          <w:color w:val="111111"/>
          <w:spacing w:val="1"/>
          <w:sz w:val="20"/>
          <w:szCs w:val="20"/>
          <w:lang w:eastAsia="en-GB"/>
        </w:rPr>
        <w:t>LONDON INTERBANK OFFERED RATE (LIBOR)</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Understanding LIBOR</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LIBOR is the average interest rate at which major global banks borrow from one another. It is based on five currencies including the U.S. dollar, the </w:t>
      </w:r>
      <w:hyperlink r:id="rId11" w:history="1">
        <w:r w:rsidRPr="00680B5D">
          <w:rPr>
            <w:rFonts w:ascii="Times New Roman" w:eastAsia="Times New Roman" w:hAnsi="Times New Roman" w:cs="Times New Roman"/>
            <w:color w:val="2C40D0"/>
            <w:spacing w:val="1"/>
            <w:sz w:val="20"/>
            <w:szCs w:val="20"/>
            <w:u w:val="single"/>
            <w:lang w:eastAsia="en-GB"/>
          </w:rPr>
          <w:t>euro</w:t>
        </w:r>
      </w:hyperlink>
      <w:r w:rsidRPr="00680B5D">
        <w:rPr>
          <w:rFonts w:ascii="Times New Roman" w:eastAsia="Times New Roman" w:hAnsi="Times New Roman" w:cs="Times New Roman"/>
          <w:color w:val="111111"/>
          <w:spacing w:val="1"/>
          <w:sz w:val="20"/>
          <w:szCs w:val="20"/>
          <w:lang w:eastAsia="en-GB"/>
        </w:rPr>
        <w:t>, the British pound, the Japanese yen, and the Swiss franc, and serves seven different maturities—overnight/spot next, one week, and one, two, three, six, and 12 months.</w:t>
      </w:r>
      <w:r w:rsidRPr="00680B5D">
        <w:rPr>
          <w:rFonts w:ascii="Times New Roman" w:eastAsia="Times New Roman" w:hAnsi="Times New Roman" w:cs="Times New Roman"/>
          <w:color w:val="0000EE"/>
          <w:spacing w:val="17"/>
          <w:sz w:val="20"/>
          <w:szCs w:val="20"/>
          <w:lang w:eastAsia="en-GB"/>
        </w:rPr>
        <w:t>1</w:t>
      </w:r>
      <w:r w:rsidRPr="00680B5D">
        <w:rPr>
          <w:rFonts w:ascii="Tahoma" w:eastAsia="Times New Roman" w:hAnsi="Tahoma" w:cs="Tahoma"/>
          <w:color w:val="111111"/>
          <w:spacing w:val="1"/>
          <w:sz w:val="20"/>
          <w:szCs w:val="20"/>
          <w:lang w:eastAsia="en-GB"/>
        </w:rPr>
        <w:t>﻿</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The combination of five currencies and seven maturities leads to a total of 35 different LIBOR rates calculated and reported each business day.</w:t>
      </w:r>
      <w:r w:rsidRPr="00680B5D">
        <w:rPr>
          <w:rFonts w:ascii="Times New Roman" w:eastAsia="Times New Roman" w:hAnsi="Times New Roman" w:cs="Times New Roman"/>
          <w:color w:val="0000EE"/>
          <w:spacing w:val="17"/>
          <w:sz w:val="20"/>
          <w:szCs w:val="20"/>
          <w:lang w:eastAsia="en-GB"/>
        </w:rPr>
        <w:t>1</w:t>
      </w:r>
      <w:r w:rsidRPr="00680B5D">
        <w:rPr>
          <w:rFonts w:ascii="Tahoma" w:eastAsia="Times New Roman" w:hAnsi="Tahoma" w:cs="Tahoma"/>
          <w:color w:val="111111"/>
          <w:spacing w:val="1"/>
          <w:sz w:val="20"/>
          <w:szCs w:val="20"/>
          <w:lang w:eastAsia="en-GB"/>
        </w:rPr>
        <w:t>﻿</w:t>
      </w:r>
      <w:r w:rsidRPr="00680B5D">
        <w:rPr>
          <w:rFonts w:ascii="Times New Roman" w:eastAsia="Times New Roman" w:hAnsi="Times New Roman" w:cs="Times New Roman"/>
          <w:color w:val="111111"/>
          <w:spacing w:val="1"/>
          <w:sz w:val="20"/>
          <w:szCs w:val="20"/>
          <w:lang w:eastAsia="en-GB"/>
        </w:rPr>
        <w:t xml:space="preserve"> The most commonly quoted rate is the three-month U.S. dollar rate, usually referred to as the current LIBOR rate.</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Each day, ICE asks major global banks how much they would charge other banks for short-term loans. The association takes out the highest and lowest figures, then calculates the average from the remaining numbers. This is known as the trimmed average. This rate is posted each morning as the daily rate, so it's not a static figure. Once the rates for each maturity and currency are calculated and finalized, they are announced and published once a day at around 11:55 a.m. London time by the ICE Benchmark Administration (IBA).</w:t>
      </w:r>
      <w:r w:rsidRPr="00680B5D">
        <w:rPr>
          <w:rFonts w:ascii="Times New Roman" w:eastAsia="Times New Roman" w:hAnsi="Times New Roman" w:cs="Times New Roman"/>
          <w:color w:val="0000EE"/>
          <w:spacing w:val="17"/>
          <w:sz w:val="20"/>
          <w:szCs w:val="20"/>
          <w:lang w:eastAsia="en-GB"/>
        </w:rPr>
        <w:t>1</w:t>
      </w:r>
      <w:r w:rsidRPr="00680B5D">
        <w:rPr>
          <w:rFonts w:ascii="Tahoma" w:eastAsia="Times New Roman" w:hAnsi="Tahoma" w:cs="Tahoma"/>
          <w:color w:val="111111"/>
          <w:spacing w:val="1"/>
          <w:sz w:val="20"/>
          <w:szCs w:val="20"/>
          <w:lang w:eastAsia="en-GB"/>
        </w:rPr>
        <w:t>﻿</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LIBOR is also the basis for consumer loans in countries around the world, so it impacts consumers just as much as it does financial institutions. The interest rates on various credit products such as credit cards, car loans, and adjustable-rate mortgages fluctuate based on the </w:t>
      </w:r>
      <w:hyperlink r:id="rId12" w:history="1">
        <w:r w:rsidRPr="00680B5D">
          <w:rPr>
            <w:rFonts w:ascii="Times New Roman" w:eastAsia="Times New Roman" w:hAnsi="Times New Roman" w:cs="Times New Roman"/>
            <w:color w:val="2C40D0"/>
            <w:spacing w:val="1"/>
            <w:sz w:val="20"/>
            <w:szCs w:val="20"/>
            <w:u w:val="single"/>
            <w:lang w:eastAsia="en-GB"/>
          </w:rPr>
          <w:t>interbank rate</w:t>
        </w:r>
      </w:hyperlink>
      <w:r w:rsidRPr="00680B5D">
        <w:rPr>
          <w:rFonts w:ascii="Times New Roman" w:eastAsia="Times New Roman" w:hAnsi="Times New Roman" w:cs="Times New Roman"/>
          <w:color w:val="111111"/>
          <w:spacing w:val="1"/>
          <w:sz w:val="20"/>
          <w:szCs w:val="20"/>
          <w:lang w:eastAsia="en-GB"/>
        </w:rPr>
        <w:t>. This change in rate helps determine the ease of borrowing between banks and consumers.</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But there is a downside to using the LIBOR rate. Even though lower borrowing costs may be attractive to consumers, it does also affect the returns on certain securities. Some mutual funds may be attached to LIBOR, so their yields may drop as LIBOR fluctuates.</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How Is LIBOR Calculated?</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 xml:space="preserve">The IBA has constituted a designated panel of global banks for each currency and tenor pair. For example, 16 major banks, including Bank of America, Barclays, Citibank, Deutsche Bank, JPMorgan Chase, and UBS constitute the </w:t>
      </w:r>
      <w:r w:rsidRPr="00680B5D">
        <w:rPr>
          <w:rFonts w:ascii="Times New Roman" w:eastAsia="Times New Roman" w:hAnsi="Times New Roman" w:cs="Times New Roman"/>
          <w:color w:val="111111"/>
          <w:spacing w:val="1"/>
          <w:sz w:val="20"/>
          <w:szCs w:val="20"/>
          <w:lang w:eastAsia="en-GB"/>
        </w:rPr>
        <w:lastRenderedPageBreak/>
        <w:t>panel for U.S. dollar LIBOR.</w:t>
      </w:r>
      <w:r w:rsidRPr="00680B5D">
        <w:rPr>
          <w:rFonts w:ascii="Times New Roman" w:eastAsia="Times New Roman" w:hAnsi="Times New Roman" w:cs="Times New Roman"/>
          <w:color w:val="0000EE"/>
          <w:spacing w:val="17"/>
          <w:sz w:val="20"/>
          <w:szCs w:val="20"/>
          <w:lang w:eastAsia="en-GB"/>
        </w:rPr>
        <w:t>1</w:t>
      </w:r>
      <w:r w:rsidRPr="00680B5D">
        <w:rPr>
          <w:rFonts w:ascii="Times New Roman" w:eastAsia="Times New Roman" w:hAnsi="Times New Roman" w:cs="Times New Roman"/>
          <w:color w:val="111111"/>
          <w:spacing w:val="1"/>
          <w:sz w:val="20"/>
          <w:szCs w:val="20"/>
          <w:lang w:eastAsia="en-GB"/>
        </w:rPr>
        <w:t> </w:t>
      </w:r>
      <w:proofErr w:type="gramStart"/>
      <w:r w:rsidRPr="00680B5D">
        <w:rPr>
          <w:rFonts w:ascii="Times New Roman" w:eastAsia="Times New Roman" w:hAnsi="Times New Roman" w:cs="Times New Roman"/>
          <w:color w:val="111111"/>
          <w:spacing w:val="1"/>
          <w:sz w:val="20"/>
          <w:szCs w:val="20"/>
          <w:lang w:eastAsia="en-GB"/>
        </w:rPr>
        <w:t>Only</w:t>
      </w:r>
      <w:proofErr w:type="gramEnd"/>
      <w:r w:rsidRPr="00680B5D">
        <w:rPr>
          <w:rFonts w:ascii="Times New Roman" w:eastAsia="Times New Roman" w:hAnsi="Times New Roman" w:cs="Times New Roman"/>
          <w:color w:val="111111"/>
          <w:spacing w:val="1"/>
          <w:sz w:val="20"/>
          <w:szCs w:val="20"/>
          <w:lang w:eastAsia="en-GB"/>
        </w:rPr>
        <w:t xml:space="preserve"> those banks that have a significant role in the London market are considered eligible for membership on the ICE LIBOR panel, and the selection process is held annually.</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In April 2018, the IBA submitted a new proposal to strengthen the LIBOR calculation methodology. It suggested using a standardized, transaction-based, data-driven, layered method called the Waterfall Methodology for determining LIBOR.</w:t>
      </w:r>
      <w:r w:rsidRPr="00680B5D">
        <w:rPr>
          <w:rFonts w:ascii="Times New Roman" w:eastAsia="Times New Roman" w:hAnsi="Times New Roman" w:cs="Times New Roman"/>
          <w:color w:val="0000EE"/>
          <w:spacing w:val="17"/>
          <w:sz w:val="20"/>
          <w:szCs w:val="20"/>
          <w:lang w:eastAsia="en-GB"/>
        </w:rPr>
        <w:t>2</w:t>
      </w:r>
    </w:p>
    <w:p w:rsidR="00680B5D" w:rsidRPr="00680B5D" w:rsidRDefault="00680B5D" w:rsidP="00680B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The first transaction-based level involves taking a </w:t>
      </w:r>
      <w:hyperlink r:id="rId13" w:history="1">
        <w:r w:rsidRPr="00680B5D">
          <w:rPr>
            <w:rFonts w:ascii="Times New Roman" w:eastAsia="Times New Roman" w:hAnsi="Times New Roman" w:cs="Times New Roman"/>
            <w:color w:val="2C40D0"/>
            <w:spacing w:val="1"/>
            <w:sz w:val="20"/>
            <w:szCs w:val="20"/>
            <w:u w:val="single"/>
            <w:lang w:eastAsia="en-GB"/>
          </w:rPr>
          <w:t>volume-weighted average price</w:t>
        </w:r>
      </w:hyperlink>
      <w:r w:rsidRPr="00680B5D">
        <w:rPr>
          <w:rFonts w:ascii="Times New Roman" w:eastAsia="Times New Roman" w:hAnsi="Times New Roman" w:cs="Times New Roman"/>
          <w:color w:val="111111"/>
          <w:spacing w:val="1"/>
          <w:sz w:val="20"/>
          <w:szCs w:val="20"/>
          <w:lang w:eastAsia="en-GB"/>
        </w:rPr>
        <w:t> (VWAP) of all eligible transactions a panel bank may have assigned a higher weighting for transactions booked closer to 11:00 a.m. London time.</w:t>
      </w:r>
    </w:p>
    <w:p w:rsidR="00680B5D" w:rsidRPr="00680B5D" w:rsidRDefault="00680B5D" w:rsidP="00680B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The second transaction-derived level involved taking submissions based on transaction-derived data from a panel bank if it does not have a sufficient number of eligible transactions to make a Level 1 submission.</w:t>
      </w:r>
    </w:p>
    <w:p w:rsidR="00680B5D" w:rsidRPr="00680B5D" w:rsidRDefault="00680B5D" w:rsidP="00680B5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The third level—expert judgment—comes into play when a panel bank fails to make a Level 1 or a Level 2 submission. It submits the rate at which it could finance itself at 11:00 a.m. London time with reference to the unsecured, wholesale funding market.</w:t>
      </w:r>
    </w:p>
    <w:p w:rsidR="00680B5D" w:rsidRPr="00680B5D" w:rsidRDefault="00680B5D" w:rsidP="00680B5D">
      <w:pPr>
        <w:shd w:val="clear" w:color="auto" w:fill="FFFFFF"/>
        <w:spacing w:after="100" w:afterAutospacing="1" w:line="240" w:lineRule="auto"/>
        <w:textAlignment w:val="baseline"/>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The Waterfall Methodology retains the trimmed average calculation.</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The IBA calculates the LIBOR rate using a </w:t>
      </w:r>
      <w:hyperlink r:id="rId14" w:history="1">
        <w:r w:rsidRPr="00680B5D">
          <w:rPr>
            <w:rFonts w:ascii="Times New Roman" w:eastAsia="Times New Roman" w:hAnsi="Times New Roman" w:cs="Times New Roman"/>
            <w:color w:val="2C40D0"/>
            <w:spacing w:val="1"/>
            <w:sz w:val="20"/>
            <w:szCs w:val="20"/>
            <w:u w:val="single"/>
            <w:lang w:eastAsia="en-GB"/>
          </w:rPr>
          <w:t>trimmed mean</w:t>
        </w:r>
      </w:hyperlink>
      <w:r w:rsidRPr="00680B5D">
        <w:rPr>
          <w:rFonts w:ascii="Times New Roman" w:eastAsia="Times New Roman" w:hAnsi="Times New Roman" w:cs="Times New Roman"/>
          <w:color w:val="111111"/>
          <w:spacing w:val="1"/>
          <w:sz w:val="20"/>
          <w:szCs w:val="20"/>
          <w:lang w:eastAsia="en-GB"/>
        </w:rPr>
        <w:t> approach applied to all the responses received. Trimmed mean is a method of averaging, which eliminates a small specified percentage of the largest and smallest values before calculating the mean. For LIBOR, figures in the highest and lowest quartile are thrown out, and averaging is performed on the remaining numbers.</w:t>
      </w:r>
      <w:r w:rsidRPr="00680B5D">
        <w:rPr>
          <w:rFonts w:ascii="Times New Roman" w:eastAsia="Times New Roman" w:hAnsi="Times New Roman" w:cs="Times New Roman"/>
          <w:color w:val="0000EE"/>
          <w:spacing w:val="17"/>
          <w:sz w:val="20"/>
          <w:szCs w:val="20"/>
          <w:lang w:eastAsia="en-GB"/>
        </w:rPr>
        <w:t>3</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Uses of LIBOR</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LIBOR is used worldwide in a wide variety of financial products. They include the following:</w:t>
      </w:r>
    </w:p>
    <w:p w:rsidR="00680B5D" w:rsidRPr="00680B5D" w:rsidRDefault="00680B5D" w:rsidP="00680B5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Standard interbank products like the forward rate agreements (FRA), interest rate swaps, interest rate </w:t>
      </w:r>
      <w:hyperlink r:id="rId15" w:history="1">
        <w:r w:rsidRPr="00680B5D">
          <w:rPr>
            <w:rFonts w:ascii="Times New Roman" w:eastAsia="Times New Roman" w:hAnsi="Times New Roman" w:cs="Times New Roman"/>
            <w:color w:val="2C40D0"/>
            <w:spacing w:val="1"/>
            <w:sz w:val="20"/>
            <w:szCs w:val="20"/>
            <w:u w:val="single"/>
            <w:lang w:eastAsia="en-GB"/>
          </w:rPr>
          <w:t>futures</w:t>
        </w:r>
      </w:hyperlink>
      <w:r w:rsidRPr="00680B5D">
        <w:rPr>
          <w:rFonts w:ascii="Times New Roman" w:eastAsia="Times New Roman" w:hAnsi="Times New Roman" w:cs="Times New Roman"/>
          <w:color w:val="111111"/>
          <w:spacing w:val="1"/>
          <w:sz w:val="20"/>
          <w:szCs w:val="20"/>
          <w:lang w:eastAsia="en-GB"/>
        </w:rPr>
        <w:t>, </w:t>
      </w:r>
      <w:hyperlink r:id="rId16" w:history="1">
        <w:r w:rsidRPr="00680B5D">
          <w:rPr>
            <w:rFonts w:ascii="Times New Roman" w:eastAsia="Times New Roman" w:hAnsi="Times New Roman" w:cs="Times New Roman"/>
            <w:color w:val="2C40D0"/>
            <w:spacing w:val="1"/>
            <w:sz w:val="20"/>
            <w:szCs w:val="20"/>
            <w:u w:val="single"/>
            <w:lang w:eastAsia="en-GB"/>
          </w:rPr>
          <w:t>options</w:t>
        </w:r>
      </w:hyperlink>
      <w:r w:rsidRPr="00680B5D">
        <w:rPr>
          <w:rFonts w:ascii="Times New Roman" w:eastAsia="Times New Roman" w:hAnsi="Times New Roman" w:cs="Times New Roman"/>
          <w:color w:val="111111"/>
          <w:spacing w:val="1"/>
          <w:sz w:val="20"/>
          <w:szCs w:val="20"/>
          <w:lang w:eastAsia="en-GB"/>
        </w:rPr>
        <w:t>, and </w:t>
      </w:r>
      <w:proofErr w:type="spellStart"/>
      <w:r w:rsidRPr="00680B5D">
        <w:rPr>
          <w:rFonts w:ascii="Times New Roman" w:eastAsia="Times New Roman" w:hAnsi="Times New Roman" w:cs="Times New Roman"/>
          <w:color w:val="111111"/>
          <w:spacing w:val="1"/>
          <w:sz w:val="20"/>
          <w:szCs w:val="20"/>
          <w:lang w:eastAsia="en-GB"/>
        </w:rPr>
        <w:fldChar w:fldCharType="begin"/>
      </w:r>
      <w:r w:rsidRPr="00680B5D">
        <w:rPr>
          <w:rFonts w:ascii="Times New Roman" w:eastAsia="Times New Roman" w:hAnsi="Times New Roman" w:cs="Times New Roman"/>
          <w:color w:val="111111"/>
          <w:spacing w:val="1"/>
          <w:sz w:val="20"/>
          <w:szCs w:val="20"/>
          <w:lang w:eastAsia="en-GB"/>
        </w:rPr>
        <w:instrText xml:space="preserve"> HYPERLINK "https://www.investopedia.com/terms/s/swaption.asp" </w:instrText>
      </w:r>
      <w:r w:rsidRPr="00680B5D">
        <w:rPr>
          <w:rFonts w:ascii="Times New Roman" w:eastAsia="Times New Roman" w:hAnsi="Times New Roman" w:cs="Times New Roman"/>
          <w:color w:val="111111"/>
          <w:spacing w:val="1"/>
          <w:sz w:val="20"/>
          <w:szCs w:val="20"/>
          <w:lang w:eastAsia="en-GB"/>
        </w:rPr>
        <w:fldChar w:fldCharType="separate"/>
      </w:r>
      <w:r w:rsidRPr="00680B5D">
        <w:rPr>
          <w:rFonts w:ascii="Times New Roman" w:eastAsia="Times New Roman" w:hAnsi="Times New Roman" w:cs="Times New Roman"/>
          <w:color w:val="2C40D0"/>
          <w:spacing w:val="1"/>
          <w:sz w:val="20"/>
          <w:szCs w:val="20"/>
          <w:u w:val="single"/>
          <w:lang w:eastAsia="en-GB"/>
        </w:rPr>
        <w:t>swaptions</w:t>
      </w:r>
      <w:proofErr w:type="spellEnd"/>
      <w:r w:rsidRPr="00680B5D">
        <w:rPr>
          <w:rFonts w:ascii="Times New Roman" w:eastAsia="Times New Roman" w:hAnsi="Times New Roman" w:cs="Times New Roman"/>
          <w:color w:val="111111"/>
          <w:spacing w:val="1"/>
          <w:sz w:val="20"/>
          <w:szCs w:val="20"/>
          <w:lang w:eastAsia="en-GB"/>
        </w:rPr>
        <w:fldChar w:fldCharType="end"/>
      </w:r>
      <w:r w:rsidRPr="00680B5D">
        <w:rPr>
          <w:rFonts w:ascii="Times New Roman" w:eastAsia="Times New Roman" w:hAnsi="Times New Roman" w:cs="Times New Roman"/>
          <w:color w:val="111111"/>
          <w:spacing w:val="1"/>
          <w:sz w:val="20"/>
          <w:szCs w:val="20"/>
          <w:lang w:eastAsia="en-GB"/>
        </w:rPr>
        <w:t>, whereby options provide buyers with the right, but not the obligation, to purchase a security or interest rate product</w:t>
      </w:r>
    </w:p>
    <w:p w:rsidR="00680B5D" w:rsidRPr="00680B5D" w:rsidRDefault="00680B5D" w:rsidP="00680B5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Commercial products like floating rate certificate of deposits and notes, variable rate mortgages, and </w:t>
      </w:r>
      <w:hyperlink r:id="rId17" w:history="1">
        <w:r w:rsidRPr="00680B5D">
          <w:rPr>
            <w:rFonts w:ascii="Times New Roman" w:eastAsia="Times New Roman" w:hAnsi="Times New Roman" w:cs="Times New Roman"/>
            <w:color w:val="2C40D0"/>
            <w:spacing w:val="1"/>
            <w:sz w:val="20"/>
            <w:szCs w:val="20"/>
            <w:u w:val="single"/>
            <w:lang w:eastAsia="en-GB"/>
          </w:rPr>
          <w:t>syndicated loans</w:t>
        </w:r>
      </w:hyperlink>
      <w:r w:rsidRPr="00680B5D">
        <w:rPr>
          <w:rFonts w:ascii="Times New Roman" w:eastAsia="Times New Roman" w:hAnsi="Times New Roman" w:cs="Times New Roman"/>
          <w:color w:val="111111"/>
          <w:spacing w:val="1"/>
          <w:sz w:val="20"/>
          <w:szCs w:val="20"/>
          <w:lang w:eastAsia="en-GB"/>
        </w:rPr>
        <w:t>, which are loans offered by a group of lenders</w:t>
      </w:r>
    </w:p>
    <w:p w:rsidR="00680B5D" w:rsidRPr="00680B5D" w:rsidRDefault="00680B5D" w:rsidP="00680B5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Hybrid products like </w:t>
      </w:r>
      <w:hyperlink r:id="rId18" w:history="1">
        <w:r w:rsidRPr="00680B5D">
          <w:rPr>
            <w:rFonts w:ascii="Times New Roman" w:eastAsia="Times New Roman" w:hAnsi="Times New Roman" w:cs="Times New Roman"/>
            <w:color w:val="2C40D0"/>
            <w:spacing w:val="1"/>
            <w:sz w:val="20"/>
            <w:szCs w:val="20"/>
            <w:u w:val="single"/>
            <w:lang w:eastAsia="en-GB"/>
          </w:rPr>
          <w:t>collateralized debt obligations</w:t>
        </w:r>
      </w:hyperlink>
      <w:r w:rsidRPr="00680B5D">
        <w:rPr>
          <w:rFonts w:ascii="Times New Roman" w:eastAsia="Times New Roman" w:hAnsi="Times New Roman" w:cs="Times New Roman"/>
          <w:color w:val="111111"/>
          <w:spacing w:val="1"/>
          <w:sz w:val="20"/>
          <w:szCs w:val="20"/>
          <w:lang w:eastAsia="en-GB"/>
        </w:rPr>
        <w:t> (CDO), collateralized mortgage obligations (CMO), and a wide variety of accrual notes, callable notes, and perpetual notes</w:t>
      </w:r>
    </w:p>
    <w:p w:rsidR="00680B5D" w:rsidRPr="00680B5D" w:rsidRDefault="00680B5D" w:rsidP="00680B5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Consumer loan-related products like individual mortgages and student loans</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LIBOR is also used as a standard gauge of market expectation for interest rates finalized by central banks. It accounts for the liquidity premiums for various instruments traded in the money markets, as well as an indicator of the health of the overall banking system. A lot of </w:t>
      </w:r>
      <w:hyperlink r:id="rId19" w:history="1">
        <w:r w:rsidRPr="00680B5D">
          <w:rPr>
            <w:rFonts w:ascii="Times New Roman" w:eastAsia="Times New Roman" w:hAnsi="Times New Roman" w:cs="Times New Roman"/>
            <w:color w:val="2C40D0"/>
            <w:spacing w:val="1"/>
            <w:sz w:val="20"/>
            <w:szCs w:val="20"/>
            <w:u w:val="single"/>
            <w:lang w:eastAsia="en-GB"/>
          </w:rPr>
          <w:t>derivative</w:t>
        </w:r>
      </w:hyperlink>
      <w:r w:rsidRPr="00680B5D">
        <w:rPr>
          <w:rFonts w:ascii="Times New Roman" w:eastAsia="Times New Roman" w:hAnsi="Times New Roman" w:cs="Times New Roman"/>
          <w:color w:val="111111"/>
          <w:spacing w:val="1"/>
          <w:sz w:val="20"/>
          <w:szCs w:val="20"/>
          <w:lang w:eastAsia="en-GB"/>
        </w:rPr>
        <w:t> products are created, launched, and traded in reference to LIBOR. LIBOR is also used as a reference rate for other standard processes like </w:t>
      </w:r>
      <w:hyperlink r:id="rId20" w:history="1">
        <w:r w:rsidRPr="00680B5D">
          <w:rPr>
            <w:rFonts w:ascii="Times New Roman" w:eastAsia="Times New Roman" w:hAnsi="Times New Roman" w:cs="Times New Roman"/>
            <w:color w:val="2C40D0"/>
            <w:spacing w:val="1"/>
            <w:sz w:val="20"/>
            <w:szCs w:val="20"/>
            <w:u w:val="single"/>
            <w:lang w:eastAsia="en-GB"/>
          </w:rPr>
          <w:t>clearing</w:t>
        </w:r>
      </w:hyperlink>
      <w:r w:rsidRPr="00680B5D">
        <w:rPr>
          <w:rFonts w:ascii="Times New Roman" w:eastAsia="Times New Roman" w:hAnsi="Times New Roman" w:cs="Times New Roman"/>
          <w:color w:val="111111"/>
          <w:spacing w:val="1"/>
          <w:sz w:val="20"/>
          <w:szCs w:val="20"/>
          <w:lang w:eastAsia="en-GB"/>
        </w:rPr>
        <w:t>, price discovery, and product valuation.</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A Brief History of LIBOR</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The need for a uniform measure of interest rates across financial institutions became necessary as the market for interest rate-based products began evolving during the 1980s. The British Bankers’ Association (BBA)—which represented the banking and financial services industry—set up BBA interest-settlement rates in 1984. Further streamlining led to the evolution of BBA LIBOR in 1986, which became the default standard interest rate for transacting in the interest rate- and currency-based financial dealings between financial institutions at the local and international levels.</w:t>
      </w:r>
      <w:r w:rsidRPr="00680B5D">
        <w:rPr>
          <w:rFonts w:ascii="Times New Roman" w:eastAsia="Times New Roman" w:hAnsi="Times New Roman" w:cs="Times New Roman"/>
          <w:color w:val="0000EE"/>
          <w:spacing w:val="17"/>
          <w:sz w:val="20"/>
          <w:szCs w:val="20"/>
          <w:lang w:eastAsia="en-GB"/>
        </w:rPr>
        <w:t>4</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Since then, LIBOR has undergone many changes. The major one is when </w:t>
      </w:r>
      <w:hyperlink r:id="rId21" w:history="1">
        <w:r w:rsidRPr="00680B5D">
          <w:rPr>
            <w:rFonts w:ascii="Times New Roman" w:eastAsia="Times New Roman" w:hAnsi="Times New Roman" w:cs="Times New Roman"/>
            <w:color w:val="2C40D0"/>
            <w:spacing w:val="1"/>
            <w:sz w:val="20"/>
            <w:szCs w:val="20"/>
            <w:u w:val="single"/>
            <w:lang w:eastAsia="en-GB"/>
          </w:rPr>
          <w:t>BBA</w:t>
        </w:r>
      </w:hyperlink>
      <w:r w:rsidRPr="00680B5D">
        <w:rPr>
          <w:rFonts w:ascii="Times New Roman" w:eastAsia="Times New Roman" w:hAnsi="Times New Roman" w:cs="Times New Roman"/>
          <w:color w:val="111111"/>
          <w:spacing w:val="1"/>
          <w:sz w:val="20"/>
          <w:szCs w:val="20"/>
          <w:lang w:eastAsia="en-GB"/>
        </w:rPr>
        <w:t> LIBOR changed to ICE LIBOR in February 2014 after the Intercontinental Exchange took over the administration.</w:t>
      </w:r>
      <w:r w:rsidRPr="00680B5D">
        <w:rPr>
          <w:rFonts w:ascii="Times New Roman" w:eastAsia="Times New Roman" w:hAnsi="Times New Roman" w:cs="Times New Roman"/>
          <w:color w:val="0000EE"/>
          <w:spacing w:val="17"/>
          <w:sz w:val="20"/>
          <w:szCs w:val="20"/>
          <w:lang w:eastAsia="en-GB"/>
        </w:rPr>
        <w:t>5</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Currencies involved in calculating LIBOR have also changed. While new currency rates have been added, many have been removed or integrated following the introduction of the euro rates. The 2008 financial crisis saw a significant decline in the number of tenors for which LIBOR was calculated.</w:t>
      </w:r>
      <w:r w:rsidRPr="00680B5D">
        <w:rPr>
          <w:rFonts w:ascii="Times New Roman" w:eastAsia="Times New Roman" w:hAnsi="Times New Roman" w:cs="Times New Roman"/>
          <w:color w:val="0000EE"/>
          <w:spacing w:val="17"/>
          <w:sz w:val="20"/>
          <w:szCs w:val="20"/>
          <w:lang w:eastAsia="en-GB"/>
        </w:rPr>
        <w:t>6</w:t>
      </w:r>
    </w:p>
    <w:p w:rsid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color w:val="111111"/>
          <w:spacing w:val="1"/>
          <w:sz w:val="20"/>
          <w:szCs w:val="20"/>
          <w:lang w:eastAsia="en-GB"/>
        </w:rPr>
      </w:pP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lastRenderedPageBreak/>
        <w:t>Alternatives to LIBOR</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 xml:space="preserve">Though LIBOR was once accepted globally, there are other several other interest rates that are popularly followed </w:t>
      </w:r>
      <w:proofErr w:type="gramStart"/>
      <w:r w:rsidRPr="00680B5D">
        <w:rPr>
          <w:rFonts w:ascii="Times New Roman" w:eastAsia="Times New Roman" w:hAnsi="Times New Roman" w:cs="Times New Roman"/>
          <w:color w:val="111111"/>
          <w:spacing w:val="1"/>
          <w:sz w:val="20"/>
          <w:szCs w:val="20"/>
          <w:lang w:eastAsia="en-GB"/>
        </w:rPr>
        <w:t>across</w:t>
      </w:r>
      <w:proofErr w:type="gramEnd"/>
      <w:r w:rsidRPr="00680B5D">
        <w:rPr>
          <w:rFonts w:ascii="Times New Roman" w:eastAsia="Times New Roman" w:hAnsi="Times New Roman" w:cs="Times New Roman"/>
          <w:color w:val="111111"/>
          <w:spacing w:val="1"/>
          <w:sz w:val="20"/>
          <w:szCs w:val="20"/>
          <w:lang w:eastAsia="en-GB"/>
        </w:rPr>
        <w:t xml:space="preserve"> the globe.</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For instance, Europe has the European Interbank Offered Rate (EURIBOR), Japan has the Tokyo Interbank Offered Rate (TIBOR), China has Shanghai Interbank Offered Rate (SHIBOR), and India has the </w:t>
      </w:r>
      <w:hyperlink r:id="rId22" w:history="1">
        <w:r w:rsidRPr="00680B5D">
          <w:rPr>
            <w:rFonts w:ascii="Times New Roman" w:eastAsia="Times New Roman" w:hAnsi="Times New Roman" w:cs="Times New Roman"/>
            <w:color w:val="2C40D0"/>
            <w:spacing w:val="1"/>
            <w:sz w:val="20"/>
            <w:szCs w:val="20"/>
            <w:u w:val="single"/>
            <w:lang w:eastAsia="en-GB"/>
          </w:rPr>
          <w:t>Mumbai Interbank Offered Rate</w:t>
        </w:r>
      </w:hyperlink>
      <w:r w:rsidRPr="00680B5D">
        <w:rPr>
          <w:rFonts w:ascii="Times New Roman" w:eastAsia="Times New Roman" w:hAnsi="Times New Roman" w:cs="Times New Roman"/>
          <w:color w:val="111111"/>
          <w:spacing w:val="1"/>
          <w:sz w:val="20"/>
          <w:szCs w:val="20"/>
          <w:lang w:eastAsia="en-GB"/>
        </w:rPr>
        <w:t> (MIBOR).</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LIBOR Scandal of Rate Rigging</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While LIBOR has been a long-established global benchmark standard for interest rates, it has had its fair share of controversies including a major </w:t>
      </w:r>
      <w:hyperlink r:id="rId23" w:history="1">
        <w:r w:rsidRPr="00680B5D">
          <w:rPr>
            <w:rFonts w:ascii="Times New Roman" w:eastAsia="Times New Roman" w:hAnsi="Times New Roman" w:cs="Times New Roman"/>
            <w:color w:val="2C40D0"/>
            <w:spacing w:val="1"/>
            <w:sz w:val="20"/>
            <w:szCs w:val="20"/>
            <w:u w:val="single"/>
            <w:lang w:eastAsia="en-GB"/>
          </w:rPr>
          <w:t>scandal of rate rigging</w:t>
        </w:r>
      </w:hyperlink>
      <w:r w:rsidRPr="00680B5D">
        <w:rPr>
          <w:rFonts w:ascii="Times New Roman" w:eastAsia="Times New Roman" w:hAnsi="Times New Roman" w:cs="Times New Roman"/>
          <w:color w:val="111111"/>
          <w:spacing w:val="1"/>
          <w:sz w:val="20"/>
          <w:szCs w:val="20"/>
          <w:lang w:eastAsia="en-GB"/>
        </w:rPr>
        <w:t>.</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 xml:space="preserve">Major </w:t>
      </w:r>
      <w:proofErr w:type="gramStart"/>
      <w:r w:rsidRPr="00680B5D">
        <w:rPr>
          <w:rFonts w:ascii="Times New Roman" w:eastAsia="Times New Roman" w:hAnsi="Times New Roman" w:cs="Times New Roman"/>
          <w:color w:val="111111"/>
          <w:spacing w:val="1"/>
          <w:sz w:val="20"/>
          <w:szCs w:val="20"/>
          <w:lang w:eastAsia="en-GB"/>
        </w:rPr>
        <w:t>banks</w:t>
      </w:r>
      <w:proofErr w:type="gramEnd"/>
      <w:r w:rsidRPr="00680B5D">
        <w:rPr>
          <w:rFonts w:ascii="Times New Roman" w:eastAsia="Times New Roman" w:hAnsi="Times New Roman" w:cs="Times New Roman"/>
          <w:color w:val="111111"/>
          <w:spacing w:val="1"/>
          <w:sz w:val="20"/>
          <w:szCs w:val="20"/>
          <w:lang w:eastAsia="en-GB"/>
        </w:rPr>
        <w:t xml:space="preserve"> allegedly colluded to manipulate the LIBOR rates. They took traders' requests into account and submitted artificially low LIBOR rates to keep them at their preferred levels. The intention behind the alleged malpractice was to bump up traders’ profits who were holding positions in LIBOR-based financial securities.</w:t>
      </w:r>
      <w:r w:rsidRPr="00680B5D">
        <w:rPr>
          <w:rFonts w:ascii="Times New Roman" w:eastAsia="Times New Roman" w:hAnsi="Times New Roman" w:cs="Times New Roman"/>
          <w:color w:val="0000EE"/>
          <w:spacing w:val="17"/>
          <w:sz w:val="20"/>
          <w:szCs w:val="20"/>
          <w:lang w:eastAsia="en-GB"/>
        </w:rPr>
        <w:t>7</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Following reporting by the Wall Street Journal in 2008, major global banks, which were on the panels and contributed to the LIBOR determination process, faced regulatory scrutiny.</w:t>
      </w:r>
      <w:r w:rsidRPr="00680B5D">
        <w:rPr>
          <w:rFonts w:ascii="Times New Roman" w:eastAsia="Times New Roman" w:hAnsi="Times New Roman" w:cs="Times New Roman"/>
          <w:color w:val="0000EE"/>
          <w:spacing w:val="17"/>
          <w:sz w:val="20"/>
          <w:szCs w:val="20"/>
          <w:lang w:eastAsia="en-GB"/>
        </w:rPr>
        <w:t>8</w:t>
      </w:r>
      <w:r w:rsidRPr="00680B5D">
        <w:rPr>
          <w:rFonts w:ascii="Times New Roman" w:eastAsia="Times New Roman" w:hAnsi="Times New Roman" w:cs="Times New Roman"/>
          <w:color w:val="111111"/>
          <w:spacing w:val="1"/>
          <w:sz w:val="20"/>
          <w:szCs w:val="20"/>
          <w:lang w:eastAsia="en-GB"/>
        </w:rPr>
        <w:t> </w:t>
      </w:r>
      <w:proofErr w:type="gramStart"/>
      <w:r w:rsidRPr="00680B5D">
        <w:rPr>
          <w:rFonts w:ascii="Times New Roman" w:eastAsia="Times New Roman" w:hAnsi="Times New Roman" w:cs="Times New Roman"/>
          <w:color w:val="111111"/>
          <w:spacing w:val="1"/>
          <w:sz w:val="20"/>
          <w:szCs w:val="20"/>
          <w:lang w:eastAsia="en-GB"/>
        </w:rPr>
        <w:t>It</w:t>
      </w:r>
      <w:proofErr w:type="gramEnd"/>
      <w:r w:rsidRPr="00680B5D">
        <w:rPr>
          <w:rFonts w:ascii="Times New Roman" w:eastAsia="Times New Roman" w:hAnsi="Times New Roman" w:cs="Times New Roman"/>
          <w:color w:val="111111"/>
          <w:spacing w:val="1"/>
          <w:sz w:val="20"/>
          <w:szCs w:val="20"/>
          <w:lang w:eastAsia="en-GB"/>
        </w:rPr>
        <w:t xml:space="preserve"> involved investigations by the U.S. Department of Justice. Similar investigations were launched in other parts of the globe including in the U.K. and Europe.</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Major </w:t>
      </w:r>
      <w:hyperlink r:id="rId24" w:history="1">
        <w:proofErr w:type="gramStart"/>
        <w:r w:rsidRPr="00680B5D">
          <w:rPr>
            <w:rFonts w:ascii="Times New Roman" w:eastAsia="Times New Roman" w:hAnsi="Times New Roman" w:cs="Times New Roman"/>
            <w:color w:val="2C40D0"/>
            <w:spacing w:val="1"/>
            <w:sz w:val="20"/>
            <w:szCs w:val="20"/>
            <w:u w:val="single"/>
            <w:lang w:eastAsia="en-GB"/>
          </w:rPr>
          <w:t>banks</w:t>
        </w:r>
        <w:proofErr w:type="gramEnd"/>
        <w:r w:rsidRPr="00680B5D">
          <w:rPr>
            <w:rFonts w:ascii="Times New Roman" w:eastAsia="Times New Roman" w:hAnsi="Times New Roman" w:cs="Times New Roman"/>
            <w:color w:val="2C40D0"/>
            <w:spacing w:val="1"/>
            <w:sz w:val="20"/>
            <w:szCs w:val="20"/>
            <w:u w:val="single"/>
            <w:lang w:eastAsia="en-GB"/>
          </w:rPr>
          <w:t xml:space="preserve"> and financial institutions</w:t>
        </w:r>
      </w:hyperlink>
      <w:r w:rsidRPr="00680B5D">
        <w:rPr>
          <w:rFonts w:ascii="Times New Roman" w:eastAsia="Times New Roman" w:hAnsi="Times New Roman" w:cs="Times New Roman"/>
          <w:color w:val="111111"/>
          <w:spacing w:val="1"/>
          <w:sz w:val="20"/>
          <w:szCs w:val="20"/>
          <w:lang w:eastAsia="en-GB"/>
        </w:rPr>
        <w:t xml:space="preserve"> including Barclays, ICAP, </w:t>
      </w:r>
      <w:proofErr w:type="spellStart"/>
      <w:r w:rsidRPr="00680B5D">
        <w:rPr>
          <w:rFonts w:ascii="Times New Roman" w:eastAsia="Times New Roman" w:hAnsi="Times New Roman" w:cs="Times New Roman"/>
          <w:color w:val="111111"/>
          <w:spacing w:val="1"/>
          <w:sz w:val="20"/>
          <w:szCs w:val="20"/>
          <w:lang w:eastAsia="en-GB"/>
        </w:rPr>
        <w:t>Rabobank</w:t>
      </w:r>
      <w:proofErr w:type="spellEnd"/>
      <w:r w:rsidRPr="00680B5D">
        <w:rPr>
          <w:rFonts w:ascii="Times New Roman" w:eastAsia="Times New Roman" w:hAnsi="Times New Roman" w:cs="Times New Roman"/>
          <w:color w:val="111111"/>
          <w:spacing w:val="1"/>
          <w:sz w:val="20"/>
          <w:szCs w:val="20"/>
          <w:lang w:eastAsia="en-GB"/>
        </w:rPr>
        <w:t>, Royal Bank of Scotland, UBS, and Deutsche Bank faced heavy fines. Punitive actions were also taken on their employees who were found to be involved in the malpractice.</w:t>
      </w:r>
      <w:r w:rsidRPr="00680B5D">
        <w:rPr>
          <w:rFonts w:ascii="Times New Roman" w:eastAsia="Times New Roman" w:hAnsi="Times New Roman" w:cs="Times New Roman"/>
          <w:color w:val="0000EE"/>
          <w:spacing w:val="17"/>
          <w:sz w:val="20"/>
          <w:szCs w:val="20"/>
          <w:lang w:eastAsia="en-GB"/>
        </w:rPr>
        <w:t>7</w:t>
      </w:r>
      <w:r w:rsidRPr="00680B5D">
        <w:rPr>
          <w:rFonts w:ascii="Times New Roman" w:eastAsia="Times New Roman" w:hAnsi="Times New Roman" w:cs="Times New Roman"/>
          <w:color w:val="111111"/>
          <w:spacing w:val="1"/>
          <w:sz w:val="20"/>
          <w:szCs w:val="20"/>
          <w:lang w:eastAsia="en-GB"/>
        </w:rPr>
        <w:t> </w:t>
      </w:r>
      <w:proofErr w:type="gramStart"/>
      <w:r w:rsidRPr="00680B5D">
        <w:rPr>
          <w:rFonts w:ascii="Times New Roman" w:eastAsia="Times New Roman" w:hAnsi="Times New Roman" w:cs="Times New Roman"/>
          <w:color w:val="111111"/>
          <w:spacing w:val="1"/>
          <w:sz w:val="20"/>
          <w:szCs w:val="20"/>
          <w:lang w:eastAsia="en-GB"/>
        </w:rPr>
        <w:t>The</w:t>
      </w:r>
      <w:proofErr w:type="gramEnd"/>
      <w:r w:rsidRPr="00680B5D">
        <w:rPr>
          <w:rFonts w:ascii="Times New Roman" w:eastAsia="Times New Roman" w:hAnsi="Times New Roman" w:cs="Times New Roman"/>
          <w:color w:val="111111"/>
          <w:spacing w:val="1"/>
          <w:sz w:val="20"/>
          <w:szCs w:val="20"/>
          <w:lang w:eastAsia="en-GB"/>
        </w:rPr>
        <w:t xml:space="preserve"> scandal was also one of the primary reasons why LIBOR shifted from BBA administration to ICE.</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Benefits of Watching LIBOR Rates</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Despite the rate-setting scandals, LIBOR rates provide a useful benchmark for the level of activity in the global economy. A falling LIBOR indicates that it is becoming easier to borrow money, possibly forecasting an increase in economic activity. A rising LIBOR means that it is getting harder to borrow money, meaning business activity is likely to slow down.</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 xml:space="preserve">These rates are particularly significant to a prospective borrower. When you borrow money from a bank, LIBOR rates may account for part of your interest rate. A high LIBOR means that you may have to pay a higher interest rate on your mortgage or personal loan, while a low LIBOR means a more </w:t>
      </w:r>
      <w:proofErr w:type="spellStart"/>
      <w:r w:rsidRPr="00680B5D">
        <w:rPr>
          <w:rFonts w:ascii="Times New Roman" w:eastAsia="Times New Roman" w:hAnsi="Times New Roman" w:cs="Times New Roman"/>
          <w:color w:val="111111"/>
          <w:spacing w:val="1"/>
          <w:sz w:val="20"/>
          <w:szCs w:val="20"/>
          <w:lang w:eastAsia="en-GB"/>
        </w:rPr>
        <w:t>favorable</w:t>
      </w:r>
      <w:proofErr w:type="spellEnd"/>
      <w:r w:rsidRPr="00680B5D">
        <w:rPr>
          <w:rFonts w:ascii="Times New Roman" w:eastAsia="Times New Roman" w:hAnsi="Times New Roman" w:cs="Times New Roman"/>
          <w:color w:val="111111"/>
          <w:spacing w:val="1"/>
          <w:sz w:val="20"/>
          <w:szCs w:val="20"/>
          <w:lang w:eastAsia="en-GB"/>
        </w:rPr>
        <w:t xml:space="preserve"> rate.</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Special Considerations: Phasing Out LIBOR</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Although LIBOR has been used since the 1980s, regulatory reforms have begun in recent years to reform benchmark rates and ultimately replace LIBOR as the interbank borrowing rate. U.K. banks are no longer required to publish LIBOR rates after 2021.</w:t>
      </w:r>
      <w:r w:rsidRPr="00680B5D">
        <w:rPr>
          <w:rFonts w:ascii="Times New Roman" w:eastAsia="Times New Roman" w:hAnsi="Times New Roman" w:cs="Times New Roman"/>
          <w:color w:val="0000EE"/>
          <w:spacing w:val="17"/>
          <w:sz w:val="20"/>
          <w:szCs w:val="20"/>
          <w:lang w:eastAsia="en-GB"/>
        </w:rPr>
        <w:t>1</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The new system is designed to replace the conjecture surrounding interest rates that was predominant under LIBOR and instead use actual transaction rates. The </w:t>
      </w:r>
      <w:hyperlink r:id="rId25" w:history="1">
        <w:r w:rsidRPr="00680B5D">
          <w:rPr>
            <w:rFonts w:ascii="Times New Roman" w:eastAsia="Times New Roman" w:hAnsi="Times New Roman" w:cs="Times New Roman"/>
            <w:color w:val="2C40D0"/>
            <w:spacing w:val="1"/>
            <w:sz w:val="20"/>
            <w:szCs w:val="20"/>
            <w:u w:val="single"/>
            <w:lang w:eastAsia="en-GB"/>
          </w:rPr>
          <w:t>secured overnight financing rate</w:t>
        </w:r>
      </w:hyperlink>
      <w:r w:rsidRPr="00680B5D">
        <w:rPr>
          <w:rFonts w:ascii="Times New Roman" w:eastAsia="Times New Roman" w:hAnsi="Times New Roman" w:cs="Times New Roman"/>
          <w:color w:val="111111"/>
          <w:spacing w:val="1"/>
          <w:sz w:val="20"/>
          <w:szCs w:val="20"/>
          <w:lang w:eastAsia="en-GB"/>
        </w:rPr>
        <w:t> (SOFR) will replace LIBOR in 2023. The SOFR is also a benchmark interest rate used for dollar-denominated loans and derivative contracts. SOFR is different than LIBOR in that it's based on actual observed transactions in the U.S. Treasury market while LIBOR used estimations of borrowing rates.</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However, SOFR is likely to be used in the U.S. and the U.K. but other countries are exploring using their own version of a benchmark rate for when LIBOR is phased out.</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Examples of LIBOR-Based Products and Transactions</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The most straightforward example of a LIBOR-based transaction is a floating rate bond, which pays an annual interest based on LIBOR, say at LIBOR + 0.5%. As the value of LIBOR changes, the interest payment will change.</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lastRenderedPageBreak/>
        <w:t>LIBOR also applies to interest rate swaps—contractual agreements between two parties to exchange interest payments at a specified time. Assume Paul owns a $1 million investment that pays him a variable LIBOR-based interest rate equal to LIBOR + 1% each quarter. Since his earnings are subject to LIBOR values and are variable in nature, he wants to switch to fixed-rate interest payments. Then there is Peter, who has a similar $1 million investment, which pays him a fixed interest of 1.5% per quarter. He wishes to get a variable earning, as it may occasionally give him higher payments.</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Both Paul and Peter can enter into a swap agreement, exchanging their respective interest receipts. Paul will receive the fixed 1.5% interest over his $1 million investment from Peter, which equals $15,000 while Peter receives LIBOR + 1% variable interest from Paul.</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If LIBOR is 1%, then Peter will receive 2% or $20,000 from Paul. Since this figure is higher than what he owes to Paul, in net terms, Peter will get $5,000 ($20,000 - $15,000) from Paul. By next quarter, if LIBOR comes down to 0.25%, Peter will be eligible to receive 1.25% or $12,500 from Paul. In net terms, Paul will get $2,500 ($15,000 - $12,500) from Peter.</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 xml:space="preserve">Such swaps essentially </w:t>
      </w:r>
      <w:proofErr w:type="spellStart"/>
      <w:r w:rsidRPr="00680B5D">
        <w:rPr>
          <w:rFonts w:ascii="Times New Roman" w:eastAsia="Times New Roman" w:hAnsi="Times New Roman" w:cs="Times New Roman"/>
          <w:color w:val="111111"/>
          <w:spacing w:val="1"/>
          <w:sz w:val="20"/>
          <w:szCs w:val="20"/>
          <w:lang w:eastAsia="en-GB"/>
        </w:rPr>
        <w:t>fulfill</w:t>
      </w:r>
      <w:proofErr w:type="spellEnd"/>
      <w:r w:rsidRPr="00680B5D">
        <w:rPr>
          <w:rFonts w:ascii="Times New Roman" w:eastAsia="Times New Roman" w:hAnsi="Times New Roman" w:cs="Times New Roman"/>
          <w:color w:val="111111"/>
          <w:spacing w:val="1"/>
          <w:sz w:val="20"/>
          <w:szCs w:val="20"/>
          <w:lang w:eastAsia="en-GB"/>
        </w:rPr>
        <w:t xml:space="preserve"> the requirement of both the transacting parties who wanted to change the type of interest receipts (fixed and floating).</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Is LIBOR Reliable?</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 xml:space="preserve">While LIBOR was once a trusted benchmark for global interest rates, the 2012 rate-rigging scandal raised many questions about its objectivity. Many financial institutions are phasing out LIBOR in </w:t>
      </w:r>
      <w:proofErr w:type="spellStart"/>
      <w:r w:rsidRPr="00680B5D">
        <w:rPr>
          <w:rFonts w:ascii="Times New Roman" w:eastAsia="Times New Roman" w:hAnsi="Times New Roman" w:cs="Times New Roman"/>
          <w:color w:val="111111"/>
          <w:spacing w:val="1"/>
          <w:sz w:val="20"/>
          <w:szCs w:val="20"/>
          <w:lang w:eastAsia="en-GB"/>
        </w:rPr>
        <w:t>favor</w:t>
      </w:r>
      <w:proofErr w:type="spellEnd"/>
      <w:r w:rsidRPr="00680B5D">
        <w:rPr>
          <w:rFonts w:ascii="Times New Roman" w:eastAsia="Times New Roman" w:hAnsi="Times New Roman" w:cs="Times New Roman"/>
          <w:color w:val="111111"/>
          <w:spacing w:val="1"/>
          <w:sz w:val="20"/>
          <w:szCs w:val="20"/>
          <w:lang w:eastAsia="en-GB"/>
        </w:rPr>
        <w:t xml:space="preserve"> of other benchmarks, such as SOFR.</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What Is the LIBOR Today?</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The LIBOR Overnight Rate was 2.31786 as of August 18, 2022. You can find the latest LIBOR rates on the </w:t>
      </w:r>
      <w:r w:rsidRPr="00680B5D">
        <w:rPr>
          <w:rFonts w:ascii="Times New Roman" w:eastAsia="Times New Roman" w:hAnsi="Times New Roman" w:cs="Times New Roman"/>
          <w:i/>
          <w:iCs/>
          <w:color w:val="111111"/>
          <w:spacing w:val="1"/>
          <w:sz w:val="20"/>
          <w:szCs w:val="20"/>
          <w:lang w:eastAsia="en-GB"/>
        </w:rPr>
        <w:t>Wall Street Journal</w:t>
      </w:r>
      <w:r w:rsidRPr="00680B5D">
        <w:rPr>
          <w:rFonts w:ascii="Times New Roman" w:eastAsia="Times New Roman" w:hAnsi="Times New Roman" w:cs="Times New Roman"/>
          <w:color w:val="111111"/>
          <w:spacing w:val="1"/>
          <w:sz w:val="20"/>
          <w:szCs w:val="20"/>
          <w:lang w:eastAsia="en-GB"/>
        </w:rPr>
        <w:t>.</w:t>
      </w:r>
      <w:r w:rsidRPr="00680B5D">
        <w:rPr>
          <w:rFonts w:ascii="Times New Roman" w:eastAsia="Times New Roman" w:hAnsi="Times New Roman" w:cs="Times New Roman"/>
          <w:color w:val="0000EE"/>
          <w:spacing w:val="17"/>
          <w:sz w:val="20"/>
          <w:szCs w:val="20"/>
          <w:lang w:eastAsia="en-GB"/>
        </w:rPr>
        <w:t>9</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What Is Replacing LIBOR?</w:t>
      </w:r>
    </w:p>
    <w:p w:rsidR="00680B5D" w:rsidRPr="00680B5D" w:rsidRDefault="00680B5D" w:rsidP="00680B5D">
      <w:pPr>
        <w:shd w:val="clear" w:color="auto" w:fill="FFFFFF"/>
        <w:spacing w:after="100" w:afterAutospacing="1" w:line="240" w:lineRule="auto"/>
        <w:ind w:left="30"/>
        <w:rPr>
          <w:rFonts w:ascii="Times New Roman" w:eastAsia="Times New Roman" w:hAnsi="Times New Roman" w:cs="Times New Roman"/>
          <w:color w:val="0000EE"/>
          <w:spacing w:val="17"/>
          <w:sz w:val="20"/>
          <w:szCs w:val="20"/>
          <w:lang w:eastAsia="en-GB"/>
        </w:rPr>
      </w:pPr>
      <w:r w:rsidRPr="00680B5D">
        <w:rPr>
          <w:rFonts w:ascii="Times New Roman" w:eastAsia="Times New Roman" w:hAnsi="Times New Roman" w:cs="Times New Roman"/>
          <w:color w:val="111111"/>
          <w:spacing w:val="1"/>
          <w:sz w:val="20"/>
          <w:szCs w:val="20"/>
          <w:lang w:eastAsia="en-GB"/>
        </w:rPr>
        <w:t xml:space="preserve">There are several alternative indexes that have been proposed to replace the USD LIBOR. One of them, </w:t>
      </w:r>
      <w:proofErr w:type="spellStart"/>
      <w:r w:rsidRPr="00680B5D">
        <w:rPr>
          <w:rFonts w:ascii="Times New Roman" w:eastAsia="Times New Roman" w:hAnsi="Times New Roman" w:cs="Times New Roman"/>
          <w:color w:val="111111"/>
          <w:spacing w:val="1"/>
          <w:sz w:val="20"/>
          <w:szCs w:val="20"/>
          <w:lang w:eastAsia="en-GB"/>
        </w:rPr>
        <w:t>Ameribor</w:t>
      </w:r>
      <w:proofErr w:type="spellEnd"/>
      <w:r w:rsidRPr="00680B5D">
        <w:rPr>
          <w:rFonts w:ascii="Times New Roman" w:eastAsia="Times New Roman" w:hAnsi="Times New Roman" w:cs="Times New Roman"/>
          <w:color w:val="111111"/>
          <w:spacing w:val="1"/>
          <w:sz w:val="20"/>
          <w:szCs w:val="20"/>
          <w:lang w:eastAsia="en-GB"/>
        </w:rPr>
        <w:t>, reflects the average borrowing costs for thousands of banks and financial institutions in the United States. Another is the Secured Overnight Financing Rate (SOFR), based on the Treasury repo rate. In 2022, the U.S. Congress passed legislation to make SOFR the official replacement for LIBOR in the United States.</w:t>
      </w:r>
      <w:r w:rsidRPr="00680B5D">
        <w:rPr>
          <w:rFonts w:ascii="Times New Roman" w:eastAsia="Times New Roman" w:hAnsi="Times New Roman" w:cs="Times New Roman"/>
          <w:color w:val="0000EE"/>
          <w:spacing w:val="17"/>
          <w:sz w:val="20"/>
          <w:szCs w:val="20"/>
          <w:lang w:eastAsia="en-GB"/>
        </w:rPr>
        <w:t>10</w:t>
      </w:r>
    </w:p>
    <w:p w:rsidR="00680B5D" w:rsidRPr="00680B5D" w:rsidRDefault="00680B5D" w:rsidP="00680B5D">
      <w:pPr>
        <w:shd w:val="clear" w:color="auto" w:fill="FFFFFF"/>
        <w:spacing w:before="100" w:beforeAutospacing="1" w:after="100" w:afterAutospacing="1" w:line="240" w:lineRule="auto"/>
        <w:outlineLvl w:val="1"/>
        <w:rPr>
          <w:rFonts w:ascii="Times New Roman" w:eastAsia="Times New Roman" w:hAnsi="Times New Roman" w:cs="Times New Roman"/>
          <w:b/>
          <w:color w:val="111111"/>
          <w:spacing w:val="1"/>
          <w:sz w:val="20"/>
          <w:szCs w:val="20"/>
          <w:lang w:eastAsia="en-GB"/>
        </w:rPr>
      </w:pPr>
      <w:r w:rsidRPr="00680B5D">
        <w:rPr>
          <w:rFonts w:ascii="Times New Roman" w:eastAsia="Times New Roman" w:hAnsi="Times New Roman" w:cs="Times New Roman"/>
          <w:b/>
          <w:color w:val="111111"/>
          <w:spacing w:val="1"/>
          <w:sz w:val="20"/>
          <w:szCs w:val="20"/>
          <w:lang w:eastAsia="en-GB"/>
        </w:rPr>
        <w:t>The Bottom Line</w:t>
      </w:r>
    </w:p>
    <w:p w:rsidR="00680B5D" w:rsidRPr="00680B5D" w:rsidRDefault="00680B5D" w:rsidP="00680B5D">
      <w:pPr>
        <w:shd w:val="clear" w:color="auto" w:fill="FFFFFF"/>
        <w:spacing w:after="100" w:afterAutospacing="1" w:line="240" w:lineRule="auto"/>
        <w:rPr>
          <w:rFonts w:ascii="Times New Roman" w:eastAsia="Times New Roman" w:hAnsi="Times New Roman" w:cs="Times New Roman"/>
          <w:color w:val="111111"/>
          <w:spacing w:val="1"/>
          <w:sz w:val="20"/>
          <w:szCs w:val="20"/>
          <w:lang w:eastAsia="en-GB"/>
        </w:rPr>
      </w:pPr>
      <w:r w:rsidRPr="00680B5D">
        <w:rPr>
          <w:rFonts w:ascii="Times New Roman" w:eastAsia="Times New Roman" w:hAnsi="Times New Roman" w:cs="Times New Roman"/>
          <w:color w:val="111111"/>
          <w:spacing w:val="1"/>
          <w:sz w:val="20"/>
          <w:szCs w:val="20"/>
          <w:lang w:eastAsia="en-GB"/>
        </w:rPr>
        <w:t>LIBOR, or the London Interbank Offered Rate, was a global benchmark that represented the interest rates on short-</w:t>
      </w:r>
      <w:bookmarkStart w:id="0" w:name="_GoBack"/>
      <w:bookmarkEnd w:id="0"/>
      <w:r w:rsidRPr="00680B5D">
        <w:rPr>
          <w:rFonts w:ascii="Times New Roman" w:eastAsia="Times New Roman" w:hAnsi="Times New Roman" w:cs="Times New Roman"/>
          <w:color w:val="111111"/>
          <w:spacing w:val="1"/>
          <w:sz w:val="20"/>
          <w:szCs w:val="20"/>
          <w:lang w:eastAsia="en-GB"/>
        </w:rPr>
        <w:t>term loans from one bank to another. However, the index fell under suspicion in 2012, when some bankers were discovered manipulating the index for their own benefit. Most countries have since phased out LIBOR, and the United States is soon to follow suit.</w:t>
      </w:r>
    </w:p>
    <w:p w:rsidR="006256FF" w:rsidRDefault="006256FF"/>
    <w:sectPr w:rsidR="006256FF" w:rsidSect="00680B5D">
      <w:head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5D" w:rsidRDefault="00680B5D" w:rsidP="00680B5D">
      <w:pPr>
        <w:spacing w:after="0" w:line="240" w:lineRule="auto"/>
      </w:pPr>
      <w:r>
        <w:separator/>
      </w:r>
    </w:p>
  </w:endnote>
  <w:endnote w:type="continuationSeparator" w:id="0">
    <w:p w:rsidR="00680B5D" w:rsidRDefault="00680B5D" w:rsidP="0068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5D" w:rsidRDefault="00680B5D" w:rsidP="00680B5D">
      <w:pPr>
        <w:spacing w:after="0" w:line="240" w:lineRule="auto"/>
      </w:pPr>
      <w:r>
        <w:separator/>
      </w:r>
    </w:p>
  </w:footnote>
  <w:footnote w:type="continuationSeparator" w:id="0">
    <w:p w:rsidR="00680B5D" w:rsidRDefault="00680B5D" w:rsidP="00680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B5D" w:rsidRPr="00680B5D" w:rsidRDefault="00680B5D" w:rsidP="00680B5D">
    <w:pPr>
      <w:pStyle w:val="Header"/>
      <w:jc w:val="center"/>
      <w:rPr>
        <w:rFonts w:ascii="Arial Black" w:hAnsi="Arial Black"/>
        <w:sz w:val="16"/>
        <w:szCs w:val="16"/>
      </w:rPr>
    </w:pPr>
    <w:r w:rsidRPr="00680B5D">
      <w:rPr>
        <w:rFonts w:ascii="Arial Black" w:eastAsia="Times New Roman" w:hAnsi="Arial Black" w:cs="Times New Roman"/>
        <w:color w:val="111111"/>
        <w:spacing w:val="1"/>
        <w:kern w:val="36"/>
        <w:sz w:val="16"/>
        <w:szCs w:val="16"/>
        <w:lang w:eastAsia="en-GB"/>
      </w:rPr>
      <w:t>LIBOR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2E62"/>
    <w:multiLevelType w:val="multilevel"/>
    <w:tmpl w:val="644E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66BF4"/>
    <w:multiLevelType w:val="multilevel"/>
    <w:tmpl w:val="5770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201C20"/>
    <w:multiLevelType w:val="multilevel"/>
    <w:tmpl w:val="605A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5D"/>
    <w:rsid w:val="006256FF"/>
    <w:rsid w:val="00680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5D12"/>
  <w15:chartTrackingRefBased/>
  <w15:docId w15:val="{115EBFBF-80C9-4503-A4D4-36C6F638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0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80B5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80B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80B5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B5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80B5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80B5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80B5D"/>
    <w:rPr>
      <w:rFonts w:ascii="Times New Roman" w:eastAsia="Times New Roman" w:hAnsi="Times New Roman" w:cs="Times New Roman"/>
      <w:b/>
      <w:bCs/>
      <w:sz w:val="24"/>
      <w:szCs w:val="24"/>
      <w:lang w:eastAsia="en-GB"/>
    </w:rPr>
  </w:style>
  <w:style w:type="character" w:customStyle="1" w:styleId="mntl-attributionitem-descriptor">
    <w:name w:val="mntl-attribution__item-descriptor"/>
    <w:basedOn w:val="DefaultParagraphFont"/>
    <w:rsid w:val="00680B5D"/>
  </w:style>
  <w:style w:type="character" w:styleId="Hyperlink">
    <w:name w:val="Hyperlink"/>
    <w:basedOn w:val="DefaultParagraphFont"/>
    <w:uiPriority w:val="99"/>
    <w:semiHidden/>
    <w:unhideWhenUsed/>
    <w:rsid w:val="00680B5D"/>
    <w:rPr>
      <w:color w:val="0000FF"/>
      <w:u w:val="single"/>
    </w:rPr>
  </w:style>
  <w:style w:type="paragraph" w:styleId="NormalWeb">
    <w:name w:val="Normal (Web)"/>
    <w:basedOn w:val="Normal"/>
    <w:uiPriority w:val="99"/>
    <w:semiHidden/>
    <w:unhideWhenUsed/>
    <w:rsid w:val="00680B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sc-block-headingtext">
    <w:name w:val="mntl-sc-block-heading__text"/>
    <w:basedOn w:val="DefaultParagraphFont"/>
    <w:rsid w:val="00680B5D"/>
  </w:style>
  <w:style w:type="paragraph" w:customStyle="1" w:styleId="comp">
    <w:name w:val="comp"/>
    <w:basedOn w:val="Normal"/>
    <w:rsid w:val="00680B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tl-inline-citation">
    <w:name w:val="mntl-inline-citation"/>
    <w:basedOn w:val="DefaultParagraphFont"/>
    <w:rsid w:val="00680B5D"/>
  </w:style>
  <w:style w:type="character" w:customStyle="1" w:styleId="jw-time-update">
    <w:name w:val="jw-time-update"/>
    <w:basedOn w:val="DefaultParagraphFont"/>
    <w:rsid w:val="00680B5D"/>
  </w:style>
  <w:style w:type="character" w:customStyle="1" w:styleId="jw-volume-update">
    <w:name w:val="jw-volume-update"/>
    <w:basedOn w:val="DefaultParagraphFont"/>
    <w:rsid w:val="00680B5D"/>
  </w:style>
  <w:style w:type="character" w:styleId="Emphasis">
    <w:name w:val="Emphasis"/>
    <w:basedOn w:val="DefaultParagraphFont"/>
    <w:uiPriority w:val="20"/>
    <w:qFormat/>
    <w:rsid w:val="00680B5D"/>
    <w:rPr>
      <w:i/>
      <w:iCs/>
    </w:rPr>
  </w:style>
  <w:style w:type="paragraph" w:styleId="Header">
    <w:name w:val="header"/>
    <w:basedOn w:val="Normal"/>
    <w:link w:val="HeaderChar"/>
    <w:uiPriority w:val="99"/>
    <w:unhideWhenUsed/>
    <w:rsid w:val="00680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B5D"/>
  </w:style>
  <w:style w:type="paragraph" w:styleId="Footer">
    <w:name w:val="footer"/>
    <w:basedOn w:val="Normal"/>
    <w:link w:val="FooterChar"/>
    <w:uiPriority w:val="99"/>
    <w:unhideWhenUsed/>
    <w:rsid w:val="00680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845920">
      <w:bodyDiv w:val="1"/>
      <w:marLeft w:val="0"/>
      <w:marRight w:val="0"/>
      <w:marTop w:val="0"/>
      <w:marBottom w:val="0"/>
      <w:divBdr>
        <w:top w:val="none" w:sz="0" w:space="0" w:color="auto"/>
        <w:left w:val="none" w:sz="0" w:space="0" w:color="auto"/>
        <w:bottom w:val="none" w:sz="0" w:space="0" w:color="auto"/>
        <w:right w:val="none" w:sz="0" w:space="0" w:color="auto"/>
      </w:divBdr>
      <w:divsChild>
        <w:div w:id="353533180">
          <w:marLeft w:val="0"/>
          <w:marRight w:val="0"/>
          <w:marTop w:val="0"/>
          <w:marBottom w:val="0"/>
          <w:divBdr>
            <w:top w:val="none" w:sz="0" w:space="0" w:color="auto"/>
            <w:left w:val="none" w:sz="0" w:space="0" w:color="auto"/>
            <w:bottom w:val="none" w:sz="0" w:space="0" w:color="auto"/>
            <w:right w:val="none" w:sz="0" w:space="0" w:color="auto"/>
          </w:divBdr>
          <w:divsChild>
            <w:div w:id="1948151254">
              <w:marLeft w:val="0"/>
              <w:marRight w:val="0"/>
              <w:marTop w:val="0"/>
              <w:marBottom w:val="0"/>
              <w:divBdr>
                <w:top w:val="none" w:sz="0" w:space="0" w:color="auto"/>
                <w:left w:val="none" w:sz="0" w:space="0" w:color="auto"/>
                <w:bottom w:val="none" w:sz="0" w:space="0" w:color="auto"/>
                <w:right w:val="none" w:sz="0" w:space="0" w:color="auto"/>
              </w:divBdr>
              <w:divsChild>
                <w:div w:id="563302225">
                  <w:marLeft w:val="0"/>
                  <w:marRight w:val="0"/>
                  <w:marTop w:val="0"/>
                  <w:marBottom w:val="0"/>
                  <w:divBdr>
                    <w:top w:val="none" w:sz="0" w:space="0" w:color="auto"/>
                    <w:left w:val="none" w:sz="0" w:space="0" w:color="auto"/>
                    <w:bottom w:val="none" w:sz="0" w:space="0" w:color="auto"/>
                    <w:right w:val="none" w:sz="0" w:space="0" w:color="auto"/>
                  </w:divBdr>
                  <w:divsChild>
                    <w:div w:id="1093627977">
                      <w:marLeft w:val="0"/>
                      <w:marRight w:val="0"/>
                      <w:marTop w:val="0"/>
                      <w:marBottom w:val="0"/>
                      <w:divBdr>
                        <w:top w:val="none" w:sz="0" w:space="0" w:color="auto"/>
                        <w:left w:val="none" w:sz="0" w:space="0" w:color="auto"/>
                        <w:bottom w:val="none" w:sz="0" w:space="0" w:color="auto"/>
                        <w:right w:val="none" w:sz="0" w:space="0" w:color="auto"/>
                      </w:divBdr>
                      <w:divsChild>
                        <w:div w:id="1223718035">
                          <w:marLeft w:val="0"/>
                          <w:marRight w:val="0"/>
                          <w:marTop w:val="0"/>
                          <w:marBottom w:val="0"/>
                          <w:divBdr>
                            <w:top w:val="none" w:sz="0" w:space="0" w:color="auto"/>
                            <w:left w:val="none" w:sz="0" w:space="0" w:color="auto"/>
                            <w:bottom w:val="none" w:sz="0" w:space="0" w:color="auto"/>
                            <w:right w:val="none" w:sz="0" w:space="0" w:color="auto"/>
                          </w:divBdr>
                          <w:divsChild>
                            <w:div w:id="1072003336">
                              <w:marLeft w:val="0"/>
                              <w:marRight w:val="0"/>
                              <w:marTop w:val="0"/>
                              <w:marBottom w:val="0"/>
                              <w:divBdr>
                                <w:top w:val="none" w:sz="0" w:space="0" w:color="auto"/>
                                <w:left w:val="none" w:sz="0" w:space="0" w:color="auto"/>
                                <w:bottom w:val="none" w:sz="0" w:space="0" w:color="auto"/>
                                <w:right w:val="none" w:sz="0" w:space="0" w:color="auto"/>
                              </w:divBdr>
                            </w:div>
                          </w:divsChild>
                        </w:div>
                        <w:div w:id="1497112049">
                          <w:marLeft w:val="0"/>
                          <w:marRight w:val="0"/>
                          <w:marTop w:val="0"/>
                          <w:marBottom w:val="0"/>
                          <w:divBdr>
                            <w:top w:val="none" w:sz="0" w:space="0" w:color="auto"/>
                            <w:left w:val="none" w:sz="0" w:space="0" w:color="auto"/>
                            <w:bottom w:val="none" w:sz="0" w:space="0" w:color="auto"/>
                            <w:right w:val="none" w:sz="0" w:space="0" w:color="auto"/>
                          </w:divBdr>
                        </w:div>
                      </w:divsChild>
                    </w:div>
                    <w:div w:id="1833717158">
                      <w:marLeft w:val="0"/>
                      <w:marRight w:val="0"/>
                      <w:marTop w:val="0"/>
                      <w:marBottom w:val="0"/>
                      <w:divBdr>
                        <w:top w:val="none" w:sz="0" w:space="0" w:color="auto"/>
                        <w:left w:val="none" w:sz="0" w:space="0" w:color="auto"/>
                        <w:bottom w:val="none" w:sz="0" w:space="0" w:color="auto"/>
                        <w:right w:val="none" w:sz="0" w:space="0" w:color="auto"/>
                      </w:divBdr>
                      <w:divsChild>
                        <w:div w:id="1314289008">
                          <w:marLeft w:val="0"/>
                          <w:marRight w:val="0"/>
                          <w:marTop w:val="0"/>
                          <w:marBottom w:val="0"/>
                          <w:divBdr>
                            <w:top w:val="none" w:sz="0" w:space="0" w:color="auto"/>
                            <w:left w:val="none" w:sz="0" w:space="0" w:color="auto"/>
                            <w:bottom w:val="none" w:sz="0" w:space="0" w:color="auto"/>
                            <w:right w:val="none" w:sz="0" w:space="0" w:color="auto"/>
                          </w:divBdr>
                          <w:divsChild>
                            <w:div w:id="9270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0324">
                      <w:marLeft w:val="0"/>
                      <w:marRight w:val="0"/>
                      <w:marTop w:val="0"/>
                      <w:marBottom w:val="0"/>
                      <w:divBdr>
                        <w:top w:val="none" w:sz="0" w:space="0" w:color="auto"/>
                        <w:left w:val="none" w:sz="0" w:space="0" w:color="auto"/>
                        <w:bottom w:val="none" w:sz="0" w:space="0" w:color="auto"/>
                        <w:right w:val="none" w:sz="0" w:space="0" w:color="auto"/>
                      </w:divBdr>
                      <w:divsChild>
                        <w:div w:id="1898659101">
                          <w:marLeft w:val="0"/>
                          <w:marRight w:val="0"/>
                          <w:marTop w:val="0"/>
                          <w:marBottom w:val="0"/>
                          <w:divBdr>
                            <w:top w:val="none" w:sz="0" w:space="0" w:color="auto"/>
                            <w:left w:val="none" w:sz="0" w:space="0" w:color="auto"/>
                            <w:bottom w:val="none" w:sz="0" w:space="0" w:color="auto"/>
                            <w:right w:val="none" w:sz="0" w:space="0" w:color="auto"/>
                          </w:divBdr>
                          <w:divsChild>
                            <w:div w:id="640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562521">
              <w:marLeft w:val="0"/>
              <w:marRight w:val="0"/>
              <w:marTop w:val="0"/>
              <w:marBottom w:val="0"/>
              <w:divBdr>
                <w:top w:val="none" w:sz="0" w:space="0" w:color="auto"/>
                <w:left w:val="none" w:sz="0" w:space="0" w:color="auto"/>
                <w:bottom w:val="none" w:sz="0" w:space="0" w:color="auto"/>
                <w:right w:val="none" w:sz="0" w:space="0" w:color="auto"/>
              </w:divBdr>
              <w:divsChild>
                <w:div w:id="12902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2637">
          <w:marLeft w:val="0"/>
          <w:marRight w:val="0"/>
          <w:marTop w:val="0"/>
          <w:marBottom w:val="0"/>
          <w:divBdr>
            <w:top w:val="none" w:sz="0" w:space="0" w:color="auto"/>
            <w:left w:val="none" w:sz="0" w:space="0" w:color="auto"/>
            <w:bottom w:val="none" w:sz="0" w:space="0" w:color="auto"/>
            <w:right w:val="none" w:sz="0" w:space="0" w:color="auto"/>
          </w:divBdr>
          <w:divsChild>
            <w:div w:id="890849663">
              <w:marLeft w:val="0"/>
              <w:marRight w:val="0"/>
              <w:marTop w:val="0"/>
              <w:marBottom w:val="0"/>
              <w:divBdr>
                <w:top w:val="none" w:sz="0" w:space="0" w:color="auto"/>
                <w:left w:val="none" w:sz="0" w:space="0" w:color="auto"/>
                <w:bottom w:val="none" w:sz="0" w:space="0" w:color="auto"/>
                <w:right w:val="none" w:sz="0" w:space="0" w:color="auto"/>
              </w:divBdr>
              <w:divsChild>
                <w:div w:id="1495996646">
                  <w:marLeft w:val="0"/>
                  <w:marRight w:val="0"/>
                  <w:marTop w:val="0"/>
                  <w:marBottom w:val="0"/>
                  <w:divBdr>
                    <w:top w:val="none" w:sz="0" w:space="0" w:color="auto"/>
                    <w:left w:val="none" w:sz="0" w:space="0" w:color="auto"/>
                    <w:bottom w:val="none" w:sz="0" w:space="0" w:color="auto"/>
                    <w:right w:val="none" w:sz="0" w:space="0" w:color="auto"/>
                  </w:divBdr>
                  <w:divsChild>
                    <w:div w:id="913589562">
                      <w:marLeft w:val="0"/>
                      <w:marRight w:val="0"/>
                      <w:marTop w:val="0"/>
                      <w:marBottom w:val="0"/>
                      <w:divBdr>
                        <w:top w:val="none" w:sz="0" w:space="0" w:color="auto"/>
                        <w:left w:val="none" w:sz="0" w:space="0" w:color="auto"/>
                        <w:bottom w:val="none" w:sz="0" w:space="0" w:color="auto"/>
                        <w:right w:val="none" w:sz="0" w:space="0" w:color="auto"/>
                      </w:divBdr>
                      <w:divsChild>
                        <w:div w:id="2135247658">
                          <w:marLeft w:val="0"/>
                          <w:marRight w:val="0"/>
                          <w:marTop w:val="0"/>
                          <w:marBottom w:val="0"/>
                          <w:divBdr>
                            <w:top w:val="none" w:sz="0" w:space="0" w:color="auto"/>
                            <w:left w:val="none" w:sz="0" w:space="0" w:color="auto"/>
                            <w:bottom w:val="none" w:sz="0" w:space="0" w:color="auto"/>
                            <w:right w:val="none" w:sz="0" w:space="0" w:color="auto"/>
                          </w:divBdr>
                          <w:divsChild>
                            <w:div w:id="19086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67217">
                      <w:marLeft w:val="0"/>
                      <w:marRight w:val="0"/>
                      <w:marTop w:val="0"/>
                      <w:marBottom w:val="0"/>
                      <w:divBdr>
                        <w:top w:val="none" w:sz="0" w:space="0" w:color="auto"/>
                        <w:left w:val="none" w:sz="0" w:space="0" w:color="auto"/>
                        <w:bottom w:val="none" w:sz="0" w:space="0" w:color="auto"/>
                        <w:right w:val="none" w:sz="0" w:space="0" w:color="auto"/>
                      </w:divBdr>
                      <w:divsChild>
                        <w:div w:id="1053312996">
                          <w:marLeft w:val="0"/>
                          <w:marRight w:val="0"/>
                          <w:marTop w:val="0"/>
                          <w:marBottom w:val="0"/>
                          <w:divBdr>
                            <w:top w:val="none" w:sz="0" w:space="0" w:color="auto"/>
                            <w:left w:val="none" w:sz="0" w:space="0" w:color="auto"/>
                            <w:bottom w:val="none" w:sz="0" w:space="0" w:color="auto"/>
                            <w:right w:val="none" w:sz="0" w:space="0" w:color="auto"/>
                          </w:divBdr>
                          <w:divsChild>
                            <w:div w:id="1773473591">
                              <w:marLeft w:val="-15"/>
                              <w:marRight w:val="-15"/>
                              <w:marTop w:val="0"/>
                              <w:marBottom w:val="0"/>
                              <w:divBdr>
                                <w:top w:val="none" w:sz="0" w:space="0" w:color="auto"/>
                                <w:left w:val="none" w:sz="0" w:space="0" w:color="auto"/>
                                <w:bottom w:val="none" w:sz="0" w:space="0" w:color="auto"/>
                                <w:right w:val="none" w:sz="0" w:space="0" w:color="auto"/>
                              </w:divBdr>
                            </w:div>
                            <w:div w:id="1322469271">
                              <w:marLeft w:val="0"/>
                              <w:marRight w:val="0"/>
                              <w:marTop w:val="0"/>
                              <w:marBottom w:val="0"/>
                              <w:divBdr>
                                <w:top w:val="none" w:sz="0" w:space="0" w:color="auto"/>
                                <w:left w:val="none" w:sz="0" w:space="0" w:color="auto"/>
                                <w:bottom w:val="none" w:sz="0" w:space="0" w:color="auto"/>
                                <w:right w:val="none" w:sz="0" w:space="0" w:color="auto"/>
                              </w:divBdr>
                            </w:div>
                            <w:div w:id="1580674083">
                              <w:marLeft w:val="0"/>
                              <w:marRight w:val="0"/>
                              <w:marTop w:val="0"/>
                              <w:marBottom w:val="0"/>
                              <w:divBdr>
                                <w:top w:val="none" w:sz="0" w:space="0" w:color="auto"/>
                                <w:left w:val="none" w:sz="0" w:space="0" w:color="auto"/>
                                <w:bottom w:val="none" w:sz="0" w:space="0" w:color="auto"/>
                                <w:right w:val="none" w:sz="0" w:space="0" w:color="auto"/>
                              </w:divBdr>
                              <w:divsChild>
                                <w:div w:id="4452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2847">
                      <w:marLeft w:val="0"/>
                      <w:marRight w:val="0"/>
                      <w:marTop w:val="0"/>
                      <w:marBottom w:val="0"/>
                      <w:divBdr>
                        <w:top w:val="none" w:sz="0" w:space="0" w:color="auto"/>
                        <w:left w:val="none" w:sz="0" w:space="0" w:color="auto"/>
                        <w:bottom w:val="none" w:sz="0" w:space="0" w:color="auto"/>
                        <w:right w:val="none" w:sz="0" w:space="0" w:color="auto"/>
                      </w:divBdr>
                      <w:divsChild>
                        <w:div w:id="1261137054">
                          <w:marLeft w:val="0"/>
                          <w:marRight w:val="0"/>
                          <w:marTop w:val="0"/>
                          <w:marBottom w:val="0"/>
                          <w:divBdr>
                            <w:top w:val="single" w:sz="6" w:space="0" w:color="E1E2E6"/>
                            <w:left w:val="single" w:sz="6" w:space="0" w:color="E1E2E6"/>
                            <w:bottom w:val="single" w:sz="6" w:space="0" w:color="E1E2E6"/>
                            <w:right w:val="single" w:sz="6" w:space="0" w:color="E1E2E6"/>
                          </w:divBdr>
                          <w:divsChild>
                            <w:div w:id="5087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13037">
                      <w:marLeft w:val="0"/>
                      <w:marRight w:val="0"/>
                      <w:marTop w:val="0"/>
                      <w:marBottom w:val="0"/>
                      <w:divBdr>
                        <w:top w:val="none" w:sz="0" w:space="0" w:color="auto"/>
                        <w:left w:val="none" w:sz="0" w:space="0" w:color="auto"/>
                        <w:bottom w:val="none" w:sz="0" w:space="0" w:color="auto"/>
                        <w:right w:val="none" w:sz="0" w:space="0" w:color="auto"/>
                      </w:divBdr>
                      <w:divsChild>
                        <w:div w:id="34475163">
                          <w:marLeft w:val="0"/>
                          <w:marRight w:val="0"/>
                          <w:marTop w:val="0"/>
                          <w:marBottom w:val="0"/>
                          <w:divBdr>
                            <w:top w:val="none" w:sz="0" w:space="0" w:color="auto"/>
                            <w:left w:val="none" w:sz="0" w:space="0" w:color="auto"/>
                            <w:bottom w:val="none" w:sz="0" w:space="0" w:color="auto"/>
                            <w:right w:val="none" w:sz="0" w:space="0" w:color="auto"/>
                          </w:divBdr>
                        </w:div>
                      </w:divsChild>
                    </w:div>
                    <w:div w:id="833178250">
                      <w:marLeft w:val="0"/>
                      <w:marRight w:val="0"/>
                      <w:marTop w:val="0"/>
                      <w:marBottom w:val="0"/>
                      <w:divBdr>
                        <w:top w:val="none" w:sz="0" w:space="0" w:color="auto"/>
                        <w:left w:val="none" w:sz="0" w:space="0" w:color="auto"/>
                        <w:bottom w:val="none" w:sz="0" w:space="0" w:color="auto"/>
                        <w:right w:val="none" w:sz="0" w:space="0" w:color="auto"/>
                      </w:divBdr>
                      <w:divsChild>
                        <w:div w:id="241136429">
                          <w:marLeft w:val="0"/>
                          <w:marRight w:val="0"/>
                          <w:marTop w:val="0"/>
                          <w:marBottom w:val="0"/>
                          <w:divBdr>
                            <w:top w:val="none" w:sz="0" w:space="0" w:color="auto"/>
                            <w:left w:val="none" w:sz="0" w:space="0" w:color="auto"/>
                            <w:bottom w:val="none" w:sz="0" w:space="0" w:color="auto"/>
                            <w:right w:val="none" w:sz="0" w:space="0" w:color="auto"/>
                          </w:divBdr>
                        </w:div>
                      </w:divsChild>
                    </w:div>
                    <w:div w:id="147064931">
                      <w:marLeft w:val="0"/>
                      <w:marRight w:val="0"/>
                      <w:marTop w:val="0"/>
                      <w:marBottom w:val="0"/>
                      <w:divBdr>
                        <w:top w:val="none" w:sz="0" w:space="0" w:color="auto"/>
                        <w:left w:val="none" w:sz="0" w:space="0" w:color="auto"/>
                        <w:bottom w:val="none" w:sz="0" w:space="0" w:color="auto"/>
                        <w:right w:val="none" w:sz="0" w:space="0" w:color="auto"/>
                      </w:divBdr>
                      <w:divsChild>
                        <w:div w:id="6911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b/benchmark.asp" TargetMode="External"/><Relationship Id="rId13" Type="http://schemas.openxmlformats.org/officeDocument/2006/relationships/hyperlink" Target="https://www.investopedia.com/terms/v/vwap.asp" TargetMode="External"/><Relationship Id="rId18" Type="http://schemas.openxmlformats.org/officeDocument/2006/relationships/hyperlink" Target="https://www.investopedia.com/terms/c/cdo.asp"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nvestopedia.com/terms/b/britishba.asp" TargetMode="External"/><Relationship Id="rId7" Type="http://schemas.openxmlformats.org/officeDocument/2006/relationships/hyperlink" Target="https://www.investopedia.com/contributors/53409/" TargetMode="External"/><Relationship Id="rId12" Type="http://schemas.openxmlformats.org/officeDocument/2006/relationships/hyperlink" Target="https://www.investopedia.com/terms/i/interbankrate.asp" TargetMode="External"/><Relationship Id="rId17" Type="http://schemas.openxmlformats.org/officeDocument/2006/relationships/hyperlink" Target="https://www.investopedia.com/terms/s/syndicatedloan.asp" TargetMode="External"/><Relationship Id="rId25" Type="http://schemas.openxmlformats.org/officeDocument/2006/relationships/hyperlink" Target="https://www.investopedia.com/secured-overnight-financing-rate-sofr-4683954" TargetMode="External"/><Relationship Id="rId2" Type="http://schemas.openxmlformats.org/officeDocument/2006/relationships/styles" Target="styles.xml"/><Relationship Id="rId16" Type="http://schemas.openxmlformats.org/officeDocument/2006/relationships/hyperlink" Target="https://www.investopedia.com/terms/o/option.asp" TargetMode="External"/><Relationship Id="rId20" Type="http://schemas.openxmlformats.org/officeDocument/2006/relationships/hyperlink" Target="https://www.investopedia.com/terms/c/clearing.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stopedia.com/terms/e/euro.asp" TargetMode="External"/><Relationship Id="rId24" Type="http://schemas.openxmlformats.org/officeDocument/2006/relationships/hyperlink" Target="https://www.investopedia.com/ask/answers/09/difference-between-libid-libor.asp" TargetMode="External"/><Relationship Id="rId5" Type="http://schemas.openxmlformats.org/officeDocument/2006/relationships/footnotes" Target="footnotes.xml"/><Relationship Id="rId15" Type="http://schemas.openxmlformats.org/officeDocument/2006/relationships/hyperlink" Target="https://www.investopedia.com/terms/f/futures.asp" TargetMode="External"/><Relationship Id="rId23" Type="http://schemas.openxmlformats.org/officeDocument/2006/relationships/hyperlink" Target="https://www.investopedia.com/terms/l/libor-scandal.asp" TargetMode="External"/><Relationship Id="rId28" Type="http://schemas.openxmlformats.org/officeDocument/2006/relationships/theme" Target="theme/theme1.xml"/><Relationship Id="rId10" Type="http://schemas.openxmlformats.org/officeDocument/2006/relationships/hyperlink" Target="https://www.investopedia.com/secured-overnight-financing-rate-sofr-4683954" TargetMode="External"/><Relationship Id="rId19" Type="http://schemas.openxmlformats.org/officeDocument/2006/relationships/hyperlink" Target="https://www.investopedia.com/terms/d/derivative.asp" TargetMode="External"/><Relationship Id="rId4" Type="http://schemas.openxmlformats.org/officeDocument/2006/relationships/webSettings" Target="webSettings.xml"/><Relationship Id="rId9" Type="http://schemas.openxmlformats.org/officeDocument/2006/relationships/hyperlink" Target="https://www.investopedia.com/terms/i/intercontinentalexchange.asp" TargetMode="External"/><Relationship Id="rId14" Type="http://schemas.openxmlformats.org/officeDocument/2006/relationships/hyperlink" Target="https://www.investopedia.com/terms/t/trimmed_mean.asp" TargetMode="External"/><Relationship Id="rId22" Type="http://schemas.openxmlformats.org/officeDocument/2006/relationships/hyperlink" Target="https://www.investopedia.com/terms/m/mibor.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 Walker</dc:creator>
  <cp:keywords/>
  <dc:description/>
  <cp:lastModifiedBy>GA Walker</cp:lastModifiedBy>
  <cp:revision>1</cp:revision>
  <dcterms:created xsi:type="dcterms:W3CDTF">2022-10-18T15:29:00Z</dcterms:created>
  <dcterms:modified xsi:type="dcterms:W3CDTF">2022-10-18T15:33:00Z</dcterms:modified>
</cp:coreProperties>
</file>