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A32" w:rsidRPr="008C1A32" w:rsidRDefault="008C1A32" w:rsidP="008C1A32">
      <w:pPr>
        <w:spacing w:before="60" w:after="60" w:line="240" w:lineRule="auto"/>
        <w:outlineLvl w:val="0"/>
        <w:rPr>
          <w:rFonts w:ascii="Arial Black" w:eastAsia="Times New Roman" w:hAnsi="Arial Black" w:cs="Times New Roman"/>
          <w:color w:val="C4C9CF"/>
          <w:kern w:val="36"/>
          <w:sz w:val="20"/>
          <w:szCs w:val="20"/>
          <w:lang w:eastAsia="en-GB"/>
        </w:rPr>
      </w:pPr>
      <w:r w:rsidRPr="008C1A32">
        <w:rPr>
          <w:rFonts w:ascii="Arial Black" w:eastAsia="Times New Roman" w:hAnsi="Arial Black" w:cs="Times New Roman"/>
          <w:color w:val="C4C9CF"/>
          <w:kern w:val="36"/>
          <w:sz w:val="20"/>
          <w:szCs w:val="20"/>
          <w:lang w:eastAsia="en-GB"/>
        </w:rPr>
        <w:t>Transition from LIBOR to risk-free rates</w:t>
      </w:r>
    </w:p>
    <w:p w:rsidR="008C1A32" w:rsidRPr="008C1A32" w:rsidRDefault="008C1A32" w:rsidP="008C1A32">
      <w:pPr>
        <w:shd w:val="clear" w:color="auto" w:fill="12273F"/>
        <w:spacing w:after="0" w:line="240" w:lineRule="auto"/>
        <w:rPr>
          <w:rFonts w:ascii="Times New Roman" w:eastAsia="Times New Roman" w:hAnsi="Times New Roman" w:cs="Times New Roman"/>
          <w:color w:val="C4C9CF"/>
          <w:sz w:val="20"/>
          <w:szCs w:val="20"/>
          <w:lang w:eastAsia="en-GB"/>
        </w:rPr>
      </w:pPr>
      <w:r w:rsidRPr="008C1A32">
        <w:rPr>
          <w:rFonts w:ascii="Arial Black" w:eastAsia="Times New Roman" w:hAnsi="Arial Black" w:cs="Times New Roman"/>
          <w:color w:val="C4C9CF"/>
          <w:sz w:val="20"/>
          <w:szCs w:val="20"/>
          <w:lang w:eastAsia="en-GB"/>
        </w:rPr>
        <w:t>LIBOR is an interest rate benchmar</w:t>
      </w:r>
      <w:r w:rsidRPr="008C1A32">
        <w:rPr>
          <w:rFonts w:ascii="Century Gothic" w:eastAsia="Times New Roman" w:hAnsi="Century Gothic" w:cs="Times New Roman"/>
          <w:color w:val="C4C9CF"/>
          <w:sz w:val="20"/>
          <w:szCs w:val="20"/>
          <w:lang w:eastAsia="en-GB"/>
        </w:rPr>
        <w:t>k used in financial markets which is being phased out. From 1 January 2022, publication of most LIBOR settings ended. We are supporting firms to continue the active transition of any outstanding LIBOR exposures.</w:t>
      </w:r>
    </w:p>
    <w:p w:rsidR="008C1A32" w:rsidRPr="008C1A32" w:rsidRDefault="008C1A32" w:rsidP="008C1A32">
      <w:pPr>
        <w:shd w:val="clear" w:color="auto" w:fill="3CD7D9"/>
        <w:spacing w:after="0" w:line="240" w:lineRule="auto"/>
        <w:jc w:val="center"/>
        <w:outlineLvl w:val="1"/>
        <w:rPr>
          <w:rFonts w:ascii="Century Gothic" w:eastAsia="Times New Roman" w:hAnsi="Century Gothic" w:cs="Times New Roman"/>
          <w:color w:val="12273F"/>
          <w:sz w:val="20"/>
          <w:szCs w:val="20"/>
          <w:lang w:eastAsia="en-GB"/>
        </w:rPr>
      </w:pPr>
      <w:r w:rsidRPr="008C1A32">
        <w:rPr>
          <w:rFonts w:ascii="Century Gothic" w:eastAsia="Times New Roman" w:hAnsi="Century Gothic" w:cs="Times New Roman"/>
          <w:color w:val="12273F"/>
          <w:sz w:val="20"/>
          <w:szCs w:val="20"/>
          <w:lang w:eastAsia="en-GB"/>
        </w:rPr>
        <w:t>24 LIBOR settings are no longer available from end-2021</w:t>
      </w:r>
    </w:p>
    <w:p w:rsidR="008C1A32" w:rsidRPr="008C1A32" w:rsidRDefault="008C1A32" w:rsidP="008C1A32">
      <w:pPr>
        <w:shd w:val="clear" w:color="auto" w:fill="3CD7D9"/>
        <w:spacing w:line="240" w:lineRule="auto"/>
        <w:jc w:val="center"/>
        <w:rPr>
          <w:rFonts w:ascii="Times New Roman" w:eastAsia="Times New Roman" w:hAnsi="Times New Roman" w:cs="Times New Roman"/>
          <w:color w:val="12273F"/>
          <w:sz w:val="20"/>
          <w:szCs w:val="20"/>
          <w:lang w:eastAsia="en-GB"/>
        </w:rPr>
      </w:pPr>
      <w:r w:rsidRPr="008C1A32">
        <w:rPr>
          <w:rFonts w:ascii="Times New Roman" w:eastAsia="Times New Roman" w:hAnsi="Times New Roman" w:cs="Times New Roman"/>
          <w:color w:val="12273F"/>
          <w:sz w:val="20"/>
          <w:szCs w:val="20"/>
          <w:lang w:eastAsia="en-GB"/>
        </w:rPr>
        <w:t>6 ‘synthetic’ GBP and JPY LIBOR settings are available for the duration of 2022*. 5 USD LIBOR settings are available until mid-2023.</w:t>
      </w:r>
    </w:p>
    <w:p w:rsidR="008C1A32" w:rsidRPr="008C1A32" w:rsidRDefault="008C1A32" w:rsidP="008C1A32">
      <w:pPr>
        <w:spacing w:after="0" w:line="240" w:lineRule="auto"/>
        <w:rPr>
          <w:rFonts w:ascii="Century Gothic" w:eastAsia="Times New Roman" w:hAnsi="Century Gothic" w:cs="Times New Roman"/>
          <w:b/>
          <w:bCs/>
          <w:color w:val="000000"/>
          <w:sz w:val="20"/>
          <w:szCs w:val="20"/>
          <w:lang w:eastAsia="en-GB"/>
        </w:rPr>
      </w:pPr>
      <w:r w:rsidRPr="008C1A32">
        <w:rPr>
          <w:rFonts w:ascii="Times New Roman" w:eastAsia="Times New Roman" w:hAnsi="Times New Roman" w:cs="Times New Roman"/>
          <w:sz w:val="20"/>
          <w:szCs w:val="20"/>
          <w:lang w:eastAsia="en-GB"/>
        </w:rPr>
        <w:t>*synthetic JPY LIBOR will cease at the end of 2022. Availability of synthetic GBP LIBOR is not guaranteed beyond end-2022.</w:t>
      </w:r>
    </w:p>
    <w:p w:rsidR="008C1A32" w:rsidRPr="008C1A32" w:rsidRDefault="008C1A32" w:rsidP="008C1A32">
      <w:pPr>
        <w:numPr>
          <w:ilvl w:val="0"/>
          <w:numId w:val="1"/>
        </w:numPr>
        <w:shd w:val="clear" w:color="auto" w:fill="A7EDEE"/>
        <w:spacing w:beforeAutospacing="1" w:after="0" w:afterAutospacing="1" w:line="240" w:lineRule="auto"/>
        <w:ind w:left="150"/>
        <w:rPr>
          <w:rFonts w:ascii="Times New Roman" w:eastAsia="Times New Roman" w:hAnsi="Times New Roman" w:cs="Times New Roman"/>
          <w:sz w:val="20"/>
          <w:szCs w:val="20"/>
          <w:lang w:eastAsia="en-GB"/>
        </w:rPr>
      </w:pPr>
      <w:hyperlink r:id="rId7" w:history="1">
        <w:r w:rsidRPr="008C1A32">
          <w:rPr>
            <w:rFonts w:ascii="Times New Roman" w:eastAsia="Times New Roman" w:hAnsi="Times New Roman" w:cs="Times New Roman"/>
            <w:color w:val="12273F"/>
            <w:sz w:val="20"/>
            <w:szCs w:val="20"/>
            <w:u w:val="single"/>
            <w:lang w:eastAsia="en-GB"/>
          </w:rPr>
          <w:t>Working Group on Sterling Risk-Free Reference Rates</w:t>
        </w:r>
      </w:hyperlink>
    </w:p>
    <w:p w:rsidR="008C1A32" w:rsidRPr="008C1A32" w:rsidRDefault="008C1A32" w:rsidP="008C1A32">
      <w:pPr>
        <w:numPr>
          <w:ilvl w:val="0"/>
          <w:numId w:val="1"/>
        </w:numPr>
        <w:shd w:val="clear" w:color="auto" w:fill="A7EDEE"/>
        <w:spacing w:beforeAutospacing="1" w:after="0" w:afterAutospacing="1" w:line="240" w:lineRule="auto"/>
        <w:ind w:left="150"/>
        <w:rPr>
          <w:rFonts w:ascii="Times New Roman" w:eastAsia="Times New Roman" w:hAnsi="Times New Roman" w:cs="Times New Roman"/>
          <w:sz w:val="20"/>
          <w:szCs w:val="20"/>
          <w:lang w:eastAsia="en-GB"/>
        </w:rPr>
      </w:pPr>
      <w:hyperlink r:id="rId8" w:history="1">
        <w:r w:rsidRPr="008C1A32">
          <w:rPr>
            <w:rFonts w:ascii="Times New Roman" w:eastAsia="Times New Roman" w:hAnsi="Times New Roman" w:cs="Times New Roman"/>
            <w:color w:val="12273F"/>
            <w:sz w:val="20"/>
            <w:szCs w:val="20"/>
            <w:u w:val="single"/>
            <w:lang w:eastAsia="en-GB"/>
          </w:rPr>
          <w:t>Key resources for firms transitioning from LIBOR</w:t>
        </w:r>
      </w:hyperlink>
    </w:p>
    <w:p w:rsidR="008C1A32" w:rsidRPr="008C1A32" w:rsidRDefault="008C1A32" w:rsidP="008C1A32">
      <w:pPr>
        <w:numPr>
          <w:ilvl w:val="0"/>
          <w:numId w:val="1"/>
        </w:numPr>
        <w:shd w:val="clear" w:color="auto" w:fill="A7EDEE"/>
        <w:spacing w:beforeAutospacing="1" w:after="0" w:afterAutospacing="1" w:line="240" w:lineRule="auto"/>
        <w:ind w:left="150"/>
        <w:rPr>
          <w:rFonts w:ascii="Times New Roman" w:eastAsia="Times New Roman" w:hAnsi="Times New Roman" w:cs="Times New Roman"/>
          <w:sz w:val="20"/>
          <w:szCs w:val="20"/>
          <w:lang w:eastAsia="en-GB"/>
        </w:rPr>
      </w:pPr>
      <w:hyperlink r:id="rId9" w:history="1">
        <w:r w:rsidRPr="008C1A32">
          <w:rPr>
            <w:rFonts w:ascii="Times New Roman" w:eastAsia="Times New Roman" w:hAnsi="Times New Roman" w:cs="Times New Roman"/>
            <w:color w:val="12273F"/>
            <w:sz w:val="20"/>
            <w:szCs w:val="20"/>
            <w:u w:val="single"/>
            <w:lang w:eastAsia="en-GB"/>
          </w:rPr>
          <w:t>SONIA interest rate benchmark</w:t>
        </w:r>
      </w:hyperlink>
    </w:p>
    <w:p w:rsidR="008C1A32" w:rsidRPr="008C1A32" w:rsidRDefault="008C1A32" w:rsidP="008C1A32">
      <w:pPr>
        <w:spacing w:after="120" w:line="240" w:lineRule="auto"/>
        <w:outlineLvl w:val="1"/>
        <w:rPr>
          <w:rFonts w:ascii="Century Gothic" w:eastAsia="Times New Roman" w:hAnsi="Century Gothic" w:cs="Times New Roman"/>
          <w:b/>
          <w:bCs/>
          <w:color w:val="12273F"/>
          <w:sz w:val="20"/>
          <w:szCs w:val="20"/>
          <w:lang w:eastAsia="en-GB"/>
        </w:rPr>
      </w:pPr>
      <w:r w:rsidRPr="008C1A32">
        <w:rPr>
          <w:rFonts w:ascii="Century Gothic" w:eastAsia="Times New Roman" w:hAnsi="Century Gothic" w:cs="Times New Roman"/>
          <w:b/>
          <w:bCs/>
          <w:color w:val="12273F"/>
          <w:sz w:val="20"/>
          <w:szCs w:val="20"/>
          <w:lang w:eastAsia="en-GB"/>
        </w:rPr>
        <w:t>Overview</w:t>
      </w:r>
    </w:p>
    <w:p w:rsidR="008C1A32" w:rsidRPr="008C1A32" w:rsidRDefault="008C1A32" w:rsidP="008C1A32">
      <w:pPr>
        <w:spacing w:after="240"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LIBOR has historically been one of the main interest rate benchmarks used in financial markets. It determines interest rates for financial contracts around the world.</w:t>
      </w:r>
    </w:p>
    <w:p w:rsidR="008C1A32" w:rsidRPr="008C1A32" w:rsidRDefault="008C1A32" w:rsidP="008C1A32">
      <w:pPr>
        <w:spacing w:after="0"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Since the global financial crisis in 2008-09, activity in the markets that LIBOR measures has reduced. The low volume of underlying transactions means that LIBOR is no longer sustainable. In line with </w:t>
      </w:r>
      <w:proofErr w:type="spellStart"/>
      <w:r w:rsidRPr="008C1A32">
        <w:rPr>
          <w:rFonts w:ascii="Times New Roman" w:eastAsia="Times New Roman" w:hAnsi="Times New Roman" w:cs="Times New Roman"/>
          <w:sz w:val="20"/>
          <w:szCs w:val="20"/>
          <w:lang w:eastAsia="en-GB"/>
        </w:rPr>
        <w:fldChar w:fldCharType="begin"/>
      </w:r>
      <w:r w:rsidRPr="008C1A32">
        <w:rPr>
          <w:rFonts w:ascii="Times New Roman" w:eastAsia="Times New Roman" w:hAnsi="Times New Roman" w:cs="Times New Roman"/>
          <w:sz w:val="20"/>
          <w:szCs w:val="20"/>
          <w:lang w:eastAsia="en-GB"/>
        </w:rPr>
        <w:instrText xml:space="preserve"> HYPERLINK "https://www.fca.org.uk/news/news-stories/changes-libor-as-of-end-2021" \t "_blank" </w:instrText>
      </w:r>
      <w:r w:rsidRPr="008C1A32">
        <w:rPr>
          <w:rFonts w:ascii="Times New Roman" w:eastAsia="Times New Roman" w:hAnsi="Times New Roman" w:cs="Times New Roman"/>
          <w:sz w:val="20"/>
          <w:szCs w:val="20"/>
          <w:lang w:eastAsia="en-GB"/>
        </w:rPr>
        <w:fldChar w:fldCharType="separate"/>
      </w:r>
      <w:r w:rsidRPr="008C1A32">
        <w:rPr>
          <w:rFonts w:ascii="Times New Roman" w:eastAsia="Times New Roman" w:hAnsi="Times New Roman" w:cs="Times New Roman"/>
          <w:b/>
          <w:bCs/>
          <w:color w:val="12273F"/>
          <w:sz w:val="20"/>
          <w:szCs w:val="20"/>
          <w:u w:val="single"/>
          <w:lang w:eastAsia="en-GB"/>
        </w:rPr>
        <w:t>announcements</w:t>
      </w:r>
      <w:r w:rsidRPr="008C1A32">
        <w:rPr>
          <w:rFonts w:ascii="Times New Roman" w:eastAsia="Times New Roman" w:hAnsi="Times New Roman" w:cs="Times New Roman"/>
          <w:b/>
          <w:bCs/>
          <w:color w:val="12273F"/>
          <w:sz w:val="20"/>
          <w:szCs w:val="20"/>
          <w:u w:val="single"/>
          <w:bdr w:val="none" w:sz="0" w:space="0" w:color="auto" w:frame="1"/>
          <w:lang w:eastAsia="en-GB"/>
        </w:rPr>
        <w:t>Opens</w:t>
      </w:r>
      <w:proofErr w:type="spellEnd"/>
      <w:r w:rsidRPr="008C1A32">
        <w:rPr>
          <w:rFonts w:ascii="Times New Roman" w:eastAsia="Times New Roman" w:hAnsi="Times New Roman" w:cs="Times New Roman"/>
          <w:b/>
          <w:bCs/>
          <w:color w:val="12273F"/>
          <w:sz w:val="20"/>
          <w:szCs w:val="20"/>
          <w:u w:val="single"/>
          <w:bdr w:val="none" w:sz="0" w:space="0" w:color="auto" w:frame="1"/>
          <w:lang w:eastAsia="en-GB"/>
        </w:rPr>
        <w:t xml:space="preserve"> in a new window</w:t>
      </w:r>
      <w:r w:rsidRPr="008C1A32">
        <w:rPr>
          <w:rFonts w:ascii="Times New Roman" w:eastAsia="Times New Roman" w:hAnsi="Times New Roman" w:cs="Times New Roman"/>
          <w:sz w:val="20"/>
          <w:szCs w:val="20"/>
          <w:lang w:eastAsia="en-GB"/>
        </w:rPr>
        <w:fldChar w:fldCharType="end"/>
      </w:r>
      <w:r w:rsidRPr="008C1A32">
        <w:rPr>
          <w:rFonts w:ascii="Times New Roman" w:eastAsia="Times New Roman" w:hAnsi="Times New Roman" w:cs="Times New Roman"/>
          <w:sz w:val="20"/>
          <w:szCs w:val="20"/>
          <w:lang w:eastAsia="en-GB"/>
        </w:rPr>
        <w:t> from the Financial Conduct Authority (FCA), publication of 24 of the 35 LIBOR settings ceased from 1 January 2022. Six sterling and yen LIBOR settings will continue for the duration of 2022 on a ‘synthetic’ basis. Five US dollar LIBOR settings will continue to be calculated using panel bank submissions until mid-2023, although its use for new business will be restricted from end-2021, with limited exceptions.</w:t>
      </w:r>
    </w:p>
    <w:p w:rsidR="008C1A32" w:rsidRPr="008C1A32" w:rsidRDefault="008C1A32" w:rsidP="008C1A32">
      <w:pPr>
        <w:spacing w:after="240"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Risk-free rates (or RFRs), which are robust alternatives to LIBOR, are available. These include the </w:t>
      </w:r>
      <w:hyperlink r:id="rId10" w:history="1">
        <w:r w:rsidRPr="008C1A32">
          <w:rPr>
            <w:rFonts w:ascii="Times New Roman" w:eastAsia="Times New Roman" w:hAnsi="Times New Roman" w:cs="Times New Roman"/>
            <w:b/>
            <w:bCs/>
            <w:color w:val="12273F"/>
            <w:sz w:val="20"/>
            <w:szCs w:val="20"/>
            <w:u w:val="single"/>
            <w:lang w:eastAsia="en-GB"/>
          </w:rPr>
          <w:t>Sterling Overnight Index Average (SONIA) benchmark</w:t>
        </w:r>
      </w:hyperlink>
      <w:r w:rsidRPr="008C1A32">
        <w:rPr>
          <w:rFonts w:ascii="Times New Roman" w:eastAsia="Times New Roman" w:hAnsi="Times New Roman" w:cs="Times New Roman"/>
          <w:sz w:val="20"/>
          <w:szCs w:val="20"/>
          <w:lang w:eastAsia="en-GB"/>
        </w:rPr>
        <w:t>, which we produce.</w:t>
      </w:r>
    </w:p>
    <w:p w:rsidR="008C1A32" w:rsidRPr="008C1A32" w:rsidRDefault="008C1A32" w:rsidP="008C1A32">
      <w:pPr>
        <w:spacing w:after="240"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We have worked closely with the Financial Conduct Authority (FCA) and market participants to support a smooth transition to these alternatives. We will continue to support firms to actively transition any outstanding LIBOR exposures.</w:t>
      </w:r>
    </w:p>
    <w:p w:rsidR="008C1A32" w:rsidRPr="008C1A32" w:rsidRDefault="008C1A32" w:rsidP="008C1A32">
      <w:pPr>
        <w:spacing w:after="240"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The industry-led </w:t>
      </w:r>
      <w:hyperlink r:id="rId11" w:history="1">
        <w:r w:rsidRPr="008C1A32">
          <w:rPr>
            <w:rFonts w:ascii="Times New Roman" w:eastAsia="Times New Roman" w:hAnsi="Times New Roman" w:cs="Times New Roman"/>
            <w:b/>
            <w:bCs/>
            <w:color w:val="12273F"/>
            <w:sz w:val="20"/>
            <w:szCs w:val="20"/>
            <w:u w:val="single"/>
            <w:lang w:eastAsia="en-GB"/>
          </w:rPr>
          <w:t>Working Group on Sterling Risk-Free Reference Rates</w:t>
        </w:r>
      </w:hyperlink>
      <w:r w:rsidRPr="008C1A32">
        <w:rPr>
          <w:rFonts w:ascii="Times New Roman" w:eastAsia="Times New Roman" w:hAnsi="Times New Roman" w:cs="Times New Roman"/>
          <w:sz w:val="20"/>
          <w:szCs w:val="20"/>
          <w:lang w:eastAsia="en-GB"/>
        </w:rPr>
        <w:t> (the Working Group) leads this work in sterling markets. It produces </w:t>
      </w:r>
      <w:hyperlink r:id="rId12" w:history="1">
        <w:r w:rsidRPr="008C1A32">
          <w:rPr>
            <w:rFonts w:ascii="Times New Roman" w:eastAsia="Times New Roman" w:hAnsi="Times New Roman" w:cs="Times New Roman"/>
            <w:b/>
            <w:bCs/>
            <w:color w:val="12273F"/>
            <w:sz w:val="20"/>
            <w:szCs w:val="20"/>
            <w:u w:val="single"/>
            <w:lang w:eastAsia="en-GB"/>
          </w:rPr>
          <w:t>guidance and support</w:t>
        </w:r>
      </w:hyperlink>
      <w:r w:rsidRPr="008C1A32">
        <w:rPr>
          <w:rFonts w:ascii="Times New Roman" w:eastAsia="Times New Roman" w:hAnsi="Times New Roman" w:cs="Times New Roman"/>
          <w:sz w:val="20"/>
          <w:szCs w:val="20"/>
          <w:lang w:eastAsia="en-GB"/>
        </w:rPr>
        <w:t> for both financial and non-financial firms to help them with the transition. The Bank of England and the FCA participate as ex-officio members and provide administrative support to the group.</w:t>
      </w:r>
    </w:p>
    <w:p w:rsidR="008C1A32" w:rsidRPr="008C1A32" w:rsidRDefault="008C1A32" w:rsidP="008C1A32">
      <w:pPr>
        <w:spacing w:after="0"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The FCA also provides </w:t>
      </w:r>
      <w:hyperlink r:id="rId13" w:tgtFrame="_blank" w:history="1">
        <w:r w:rsidRPr="008C1A32">
          <w:rPr>
            <w:rFonts w:ascii="Times New Roman" w:eastAsia="Times New Roman" w:hAnsi="Times New Roman" w:cs="Times New Roman"/>
            <w:b/>
            <w:bCs/>
            <w:color w:val="12273F"/>
            <w:sz w:val="20"/>
            <w:szCs w:val="20"/>
            <w:u w:val="single"/>
            <w:lang w:eastAsia="en-GB"/>
          </w:rPr>
          <w:t xml:space="preserve">guidance on the LIBOR </w:t>
        </w:r>
        <w:proofErr w:type="spellStart"/>
        <w:r w:rsidRPr="008C1A32">
          <w:rPr>
            <w:rFonts w:ascii="Times New Roman" w:eastAsia="Times New Roman" w:hAnsi="Times New Roman" w:cs="Times New Roman"/>
            <w:b/>
            <w:bCs/>
            <w:color w:val="12273F"/>
            <w:sz w:val="20"/>
            <w:szCs w:val="20"/>
            <w:u w:val="single"/>
            <w:lang w:eastAsia="en-GB"/>
          </w:rPr>
          <w:t>transition</w:t>
        </w:r>
        <w:r w:rsidRPr="008C1A32">
          <w:rPr>
            <w:rFonts w:ascii="Times New Roman" w:eastAsia="Times New Roman" w:hAnsi="Times New Roman" w:cs="Times New Roman"/>
            <w:b/>
            <w:bCs/>
            <w:color w:val="12273F"/>
            <w:sz w:val="20"/>
            <w:szCs w:val="20"/>
            <w:u w:val="single"/>
            <w:bdr w:val="none" w:sz="0" w:space="0" w:color="auto" w:frame="1"/>
            <w:lang w:eastAsia="en-GB"/>
          </w:rPr>
          <w:t>Opens</w:t>
        </w:r>
        <w:proofErr w:type="spellEnd"/>
        <w:r w:rsidRPr="008C1A32">
          <w:rPr>
            <w:rFonts w:ascii="Times New Roman" w:eastAsia="Times New Roman" w:hAnsi="Times New Roman" w:cs="Times New Roman"/>
            <w:b/>
            <w:bCs/>
            <w:color w:val="12273F"/>
            <w:sz w:val="20"/>
            <w:szCs w:val="20"/>
            <w:u w:val="single"/>
            <w:bdr w:val="none" w:sz="0" w:space="0" w:color="auto" w:frame="1"/>
            <w:lang w:eastAsia="en-GB"/>
          </w:rPr>
          <w:t xml:space="preserve"> in a new window</w:t>
        </w:r>
      </w:hyperlink>
      <w:r w:rsidRPr="008C1A32">
        <w:rPr>
          <w:rFonts w:ascii="Times New Roman" w:eastAsia="Times New Roman" w:hAnsi="Times New Roman" w:cs="Times New Roman"/>
          <w:sz w:val="20"/>
          <w:szCs w:val="20"/>
          <w:lang w:eastAsia="en-GB"/>
        </w:rPr>
        <w:t>.</w:t>
      </w:r>
    </w:p>
    <w:p w:rsidR="008C1A32" w:rsidRPr="008C1A32" w:rsidRDefault="008C1A32" w:rsidP="008C1A32">
      <w:pPr>
        <w:spacing w:after="120" w:line="240" w:lineRule="auto"/>
        <w:outlineLvl w:val="1"/>
        <w:rPr>
          <w:rFonts w:ascii="Century Gothic" w:eastAsia="Times New Roman" w:hAnsi="Century Gothic" w:cs="Times New Roman"/>
          <w:b/>
          <w:bCs/>
          <w:color w:val="12273F"/>
          <w:sz w:val="20"/>
          <w:szCs w:val="20"/>
          <w:lang w:eastAsia="en-GB"/>
        </w:rPr>
      </w:pPr>
      <w:r w:rsidRPr="008C1A32">
        <w:rPr>
          <w:rFonts w:ascii="Century Gothic" w:eastAsia="Times New Roman" w:hAnsi="Century Gothic" w:cs="Times New Roman"/>
          <w:b/>
          <w:bCs/>
          <w:color w:val="12273F"/>
          <w:sz w:val="20"/>
          <w:szCs w:val="20"/>
          <w:lang w:eastAsia="en-GB"/>
        </w:rPr>
        <w:t>Bank of England LIBOR news, events and publications</w:t>
      </w:r>
    </w:p>
    <w:p w:rsidR="008C1A32" w:rsidRPr="008C1A32" w:rsidRDefault="008C1A32" w:rsidP="008C1A32">
      <w:pPr>
        <w:spacing w:after="120" w:line="240" w:lineRule="auto"/>
        <w:outlineLvl w:val="2"/>
        <w:rPr>
          <w:rFonts w:ascii="Century Gothic" w:eastAsia="Times New Roman" w:hAnsi="Century Gothic" w:cs="Times New Roman"/>
          <w:b/>
          <w:bCs/>
          <w:color w:val="12273F"/>
          <w:sz w:val="20"/>
          <w:szCs w:val="20"/>
          <w:lang w:eastAsia="en-GB"/>
        </w:rPr>
      </w:pPr>
      <w:r w:rsidRPr="008C1A32">
        <w:rPr>
          <w:rFonts w:ascii="Century Gothic" w:eastAsia="Times New Roman" w:hAnsi="Century Gothic" w:cs="Times New Roman"/>
          <w:b/>
          <w:bCs/>
          <w:color w:val="12273F"/>
          <w:sz w:val="20"/>
          <w:szCs w:val="20"/>
          <w:lang w:eastAsia="en-GB"/>
        </w:rPr>
        <w:t>May 2022</w:t>
      </w:r>
    </w:p>
    <w:p w:rsidR="008C1A32" w:rsidRPr="008C1A32" w:rsidRDefault="008C1A32" w:rsidP="008C1A32">
      <w:pPr>
        <w:spacing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We issued a </w:t>
      </w:r>
      <w:hyperlink r:id="rId14" w:history="1">
        <w:r w:rsidRPr="008C1A32">
          <w:rPr>
            <w:rFonts w:ascii="Times New Roman" w:eastAsia="Times New Roman" w:hAnsi="Times New Roman" w:cs="Times New Roman"/>
            <w:b/>
            <w:bCs/>
            <w:color w:val="12273F"/>
            <w:sz w:val="20"/>
            <w:szCs w:val="20"/>
            <w:u w:val="single"/>
            <w:lang w:eastAsia="en-GB"/>
          </w:rPr>
          <w:t>Market Notice</w:t>
        </w:r>
      </w:hyperlink>
      <w:r w:rsidRPr="008C1A32">
        <w:rPr>
          <w:rFonts w:ascii="Times New Roman" w:eastAsia="Times New Roman" w:hAnsi="Times New Roman" w:cs="Times New Roman"/>
          <w:sz w:val="20"/>
          <w:szCs w:val="20"/>
          <w:lang w:eastAsia="en-GB"/>
        </w:rPr>
        <w:t> regarding our risk management approach to collateral referencing USD LIBOR, maturing after 30 June 2023, for use in the Sterling Monetary Framework (SMF). From 1 October 2022, the Bank will progressively increase haircuts on such collateral. Further, our eligibility criteria was updated to set out that collateral referencing USD Credit Sensitive Rates would be ineligible for use in the SMF, which reflects the </w:t>
      </w:r>
      <w:hyperlink r:id="rId15" w:anchor="chapter-2" w:history="1">
        <w:r w:rsidRPr="008C1A32">
          <w:rPr>
            <w:rFonts w:ascii="Times New Roman" w:eastAsia="Times New Roman" w:hAnsi="Times New Roman" w:cs="Times New Roman"/>
            <w:b/>
            <w:bCs/>
            <w:color w:val="12273F"/>
            <w:sz w:val="20"/>
            <w:szCs w:val="20"/>
            <w:u w:val="single"/>
            <w:lang w:eastAsia="en-GB"/>
          </w:rPr>
          <w:t>FPC’s concerns</w:t>
        </w:r>
      </w:hyperlink>
      <w:r w:rsidRPr="008C1A32">
        <w:rPr>
          <w:rFonts w:ascii="Times New Roman" w:eastAsia="Times New Roman" w:hAnsi="Times New Roman" w:cs="Times New Roman"/>
          <w:sz w:val="20"/>
          <w:szCs w:val="20"/>
          <w:lang w:eastAsia="en-GB"/>
        </w:rPr>
        <w:t> about the risks from these rates.</w:t>
      </w:r>
    </w:p>
    <w:p w:rsidR="008C1A32" w:rsidRPr="008C1A32" w:rsidRDefault="008C1A32" w:rsidP="008C1A32">
      <w:pPr>
        <w:spacing w:after="120" w:line="240" w:lineRule="auto"/>
        <w:outlineLvl w:val="2"/>
        <w:rPr>
          <w:rFonts w:ascii="Century Gothic" w:eastAsia="Times New Roman" w:hAnsi="Century Gothic" w:cs="Times New Roman"/>
          <w:b/>
          <w:bCs/>
          <w:color w:val="12273F"/>
          <w:sz w:val="20"/>
          <w:szCs w:val="20"/>
          <w:lang w:eastAsia="en-GB"/>
        </w:rPr>
      </w:pPr>
      <w:r w:rsidRPr="008C1A32">
        <w:rPr>
          <w:rFonts w:ascii="Century Gothic" w:eastAsia="Times New Roman" w:hAnsi="Century Gothic" w:cs="Times New Roman"/>
          <w:b/>
          <w:bCs/>
          <w:color w:val="12273F"/>
          <w:sz w:val="20"/>
          <w:szCs w:val="20"/>
          <w:lang w:eastAsia="en-GB"/>
        </w:rPr>
        <w:t>February 2022</w:t>
      </w:r>
    </w:p>
    <w:p w:rsidR="008C1A32" w:rsidRPr="008C1A32" w:rsidRDefault="008C1A32" w:rsidP="008C1A32">
      <w:pPr>
        <w:spacing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The transition away from LIBOR reached a critical step on 31 December 2021, as most LIBOR settings were published for the final time. Alongside the FCA and the Working Group on Sterling Risk-Free Reference Rates, we </w:t>
      </w:r>
      <w:hyperlink r:id="rId16" w:history="1">
        <w:r w:rsidRPr="008C1A32">
          <w:rPr>
            <w:rFonts w:ascii="Times New Roman" w:eastAsia="Times New Roman" w:hAnsi="Times New Roman" w:cs="Times New Roman"/>
            <w:b/>
            <w:bCs/>
            <w:color w:val="12273F"/>
            <w:sz w:val="20"/>
            <w:szCs w:val="20"/>
            <w:u w:val="single"/>
            <w:lang w:eastAsia="en-GB"/>
          </w:rPr>
          <w:t>released a statement</w:t>
        </w:r>
      </w:hyperlink>
      <w:r w:rsidRPr="008C1A32">
        <w:rPr>
          <w:rFonts w:ascii="Times New Roman" w:eastAsia="Times New Roman" w:hAnsi="Times New Roman" w:cs="Times New Roman"/>
          <w:sz w:val="20"/>
          <w:szCs w:val="20"/>
          <w:lang w:eastAsia="en-GB"/>
        </w:rPr>
        <w:t> reflecting on achievements in sterling markets, setting out what more needs to done and providing an update on how the Working Group will operate in the future.</w:t>
      </w:r>
    </w:p>
    <w:p w:rsidR="008C1A32" w:rsidRPr="008C1A32" w:rsidRDefault="008C1A32" w:rsidP="008C1A32">
      <w:pPr>
        <w:spacing w:after="120" w:line="240" w:lineRule="auto"/>
        <w:outlineLvl w:val="2"/>
        <w:rPr>
          <w:rFonts w:ascii="Century Gothic" w:eastAsia="Times New Roman" w:hAnsi="Century Gothic" w:cs="Times New Roman"/>
          <w:b/>
          <w:bCs/>
          <w:color w:val="12273F"/>
          <w:sz w:val="20"/>
          <w:szCs w:val="20"/>
          <w:lang w:eastAsia="en-GB"/>
        </w:rPr>
      </w:pPr>
      <w:r w:rsidRPr="008C1A32">
        <w:rPr>
          <w:rFonts w:ascii="Century Gothic" w:eastAsia="Times New Roman" w:hAnsi="Century Gothic" w:cs="Times New Roman"/>
          <w:b/>
          <w:bCs/>
          <w:color w:val="12273F"/>
          <w:sz w:val="20"/>
          <w:szCs w:val="20"/>
          <w:lang w:eastAsia="en-GB"/>
        </w:rPr>
        <w:t>December 2021</w:t>
      </w:r>
    </w:p>
    <w:p w:rsidR="008C1A32" w:rsidRPr="008C1A32" w:rsidRDefault="008C1A32" w:rsidP="008C1A32">
      <w:pPr>
        <w:spacing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We published our </w:t>
      </w:r>
      <w:hyperlink r:id="rId17" w:history="1">
        <w:r w:rsidRPr="008C1A32">
          <w:rPr>
            <w:rFonts w:ascii="Times New Roman" w:eastAsia="Times New Roman" w:hAnsi="Times New Roman" w:cs="Times New Roman"/>
            <w:b/>
            <w:bCs/>
            <w:color w:val="12273F"/>
            <w:sz w:val="20"/>
            <w:szCs w:val="20"/>
            <w:u w:val="single"/>
            <w:lang w:eastAsia="en-GB"/>
          </w:rPr>
          <w:t>final policy</w:t>
        </w:r>
      </w:hyperlink>
      <w:r w:rsidRPr="008C1A32">
        <w:rPr>
          <w:rFonts w:ascii="Times New Roman" w:eastAsia="Times New Roman" w:hAnsi="Times New Roman" w:cs="Times New Roman"/>
          <w:sz w:val="20"/>
          <w:szCs w:val="20"/>
          <w:lang w:eastAsia="en-GB"/>
        </w:rPr>
        <w:t> on our proposal to introduce a clearing obligation for OIS that reference TONA. This change will come into force on 31 January 2022, to provide firms sufficient time to complete their preparations. </w:t>
      </w:r>
    </w:p>
    <w:p w:rsidR="008C1A32" w:rsidRPr="008C1A32" w:rsidRDefault="008C1A32" w:rsidP="008C1A32">
      <w:pPr>
        <w:spacing w:after="120" w:line="240" w:lineRule="auto"/>
        <w:outlineLvl w:val="2"/>
        <w:rPr>
          <w:rFonts w:ascii="Century Gothic" w:eastAsia="Times New Roman" w:hAnsi="Century Gothic" w:cs="Times New Roman"/>
          <w:b/>
          <w:bCs/>
          <w:color w:val="12273F"/>
          <w:sz w:val="20"/>
          <w:szCs w:val="20"/>
          <w:lang w:eastAsia="en-GB"/>
        </w:rPr>
      </w:pPr>
      <w:r w:rsidRPr="008C1A32">
        <w:rPr>
          <w:rFonts w:ascii="Century Gothic" w:eastAsia="Times New Roman" w:hAnsi="Century Gothic" w:cs="Times New Roman"/>
          <w:b/>
          <w:bCs/>
          <w:color w:val="12273F"/>
          <w:sz w:val="20"/>
          <w:szCs w:val="20"/>
          <w:lang w:eastAsia="en-GB"/>
        </w:rPr>
        <w:t>September 2021</w:t>
      </w:r>
    </w:p>
    <w:p w:rsidR="008C1A32" w:rsidRPr="008C1A32" w:rsidRDefault="008C1A32" w:rsidP="008C1A32">
      <w:pPr>
        <w:spacing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We published our </w:t>
      </w:r>
      <w:hyperlink r:id="rId18" w:history="1">
        <w:r w:rsidRPr="008C1A32">
          <w:rPr>
            <w:rFonts w:ascii="Times New Roman" w:eastAsia="Times New Roman" w:hAnsi="Times New Roman" w:cs="Times New Roman"/>
            <w:b/>
            <w:bCs/>
            <w:color w:val="12273F"/>
            <w:sz w:val="20"/>
            <w:szCs w:val="20"/>
            <w:u w:val="single"/>
            <w:lang w:eastAsia="en-GB"/>
          </w:rPr>
          <w:t>final policy</w:t>
        </w:r>
      </w:hyperlink>
      <w:r w:rsidRPr="008C1A32">
        <w:rPr>
          <w:rFonts w:ascii="Times New Roman" w:eastAsia="Times New Roman" w:hAnsi="Times New Roman" w:cs="Times New Roman"/>
          <w:sz w:val="20"/>
          <w:szCs w:val="20"/>
          <w:lang w:eastAsia="en-GB"/>
        </w:rPr>
        <w:t> on our proposal to modify the scope of contracts subject to the derivatives clearing obligation, to reflect ongoing reforms to interest rate benchmarks. We also published a supplementary </w:t>
      </w:r>
      <w:hyperlink r:id="rId19" w:history="1">
        <w:r w:rsidRPr="008C1A32">
          <w:rPr>
            <w:rFonts w:ascii="Times New Roman" w:eastAsia="Times New Roman" w:hAnsi="Times New Roman" w:cs="Times New Roman"/>
            <w:b/>
            <w:bCs/>
            <w:color w:val="12273F"/>
            <w:sz w:val="20"/>
            <w:szCs w:val="20"/>
            <w:u w:val="single"/>
            <w:lang w:eastAsia="en-GB"/>
          </w:rPr>
          <w:t xml:space="preserve">consultation </w:t>
        </w:r>
        <w:r w:rsidRPr="008C1A32">
          <w:rPr>
            <w:rFonts w:ascii="Times New Roman" w:eastAsia="Times New Roman" w:hAnsi="Times New Roman" w:cs="Times New Roman"/>
            <w:b/>
            <w:bCs/>
            <w:color w:val="12273F"/>
            <w:sz w:val="20"/>
            <w:szCs w:val="20"/>
            <w:u w:val="single"/>
            <w:lang w:eastAsia="en-GB"/>
          </w:rPr>
          <w:lastRenderedPageBreak/>
          <w:t>paper</w:t>
        </w:r>
      </w:hyperlink>
      <w:r w:rsidRPr="008C1A32">
        <w:rPr>
          <w:rFonts w:ascii="Times New Roman" w:eastAsia="Times New Roman" w:hAnsi="Times New Roman" w:cs="Times New Roman"/>
          <w:sz w:val="20"/>
          <w:szCs w:val="20"/>
          <w:lang w:eastAsia="en-GB"/>
        </w:rPr>
        <w:t> which proposes to introduce a clearing obligation for OIS that reference TONA. The consultation closes on 27 October 2021. </w:t>
      </w:r>
    </w:p>
    <w:p w:rsidR="008C1A32" w:rsidRPr="008C1A32" w:rsidRDefault="008C1A32" w:rsidP="008C1A32">
      <w:pPr>
        <w:spacing w:after="120" w:line="240" w:lineRule="auto"/>
        <w:outlineLvl w:val="2"/>
        <w:rPr>
          <w:rFonts w:ascii="Century Gothic" w:eastAsia="Times New Roman" w:hAnsi="Century Gothic" w:cs="Times New Roman"/>
          <w:b/>
          <w:bCs/>
          <w:color w:val="12273F"/>
          <w:sz w:val="20"/>
          <w:szCs w:val="20"/>
          <w:lang w:eastAsia="en-GB"/>
        </w:rPr>
      </w:pPr>
      <w:r w:rsidRPr="008C1A32">
        <w:rPr>
          <w:rFonts w:ascii="Century Gothic" w:eastAsia="Times New Roman" w:hAnsi="Century Gothic" w:cs="Times New Roman"/>
          <w:b/>
          <w:bCs/>
          <w:color w:val="12273F"/>
          <w:sz w:val="20"/>
          <w:szCs w:val="20"/>
          <w:lang w:eastAsia="en-GB"/>
        </w:rPr>
        <w:t>July 2021</w:t>
      </w:r>
    </w:p>
    <w:p w:rsidR="008C1A32" w:rsidRPr="008C1A32" w:rsidRDefault="008C1A32" w:rsidP="008C1A32">
      <w:pPr>
        <w:spacing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We issued a </w:t>
      </w:r>
      <w:hyperlink r:id="rId20" w:history="1">
        <w:r w:rsidRPr="008C1A32">
          <w:rPr>
            <w:rFonts w:ascii="Times New Roman" w:eastAsia="Times New Roman" w:hAnsi="Times New Roman" w:cs="Times New Roman"/>
            <w:b/>
            <w:bCs/>
            <w:color w:val="12273F"/>
            <w:sz w:val="20"/>
            <w:szCs w:val="20"/>
            <w:u w:val="single"/>
            <w:lang w:eastAsia="en-GB"/>
          </w:rPr>
          <w:t>joint statement with the FCA</w:t>
        </w:r>
      </w:hyperlink>
      <w:r w:rsidRPr="008C1A32">
        <w:rPr>
          <w:rFonts w:ascii="Times New Roman" w:eastAsia="Times New Roman" w:hAnsi="Times New Roman" w:cs="Times New Roman"/>
          <w:sz w:val="20"/>
          <w:szCs w:val="20"/>
          <w:lang w:eastAsia="en-GB"/>
        </w:rPr>
        <w:t> supporting an ‘RFR First’ initiative for cross-currency swaps currently based on LIBOR, coordinated jointly across relevant jurisdictions. The FCA and the Bank of England support and encourage market participants in a switch to RFRs in the LIBOR cross-currency swaps market from 21 September this year. This is to facilitate a further shift in market liquidity toward RFRs, bringing benefits for a wide range of users as they move away from LIBOR.</w:t>
      </w:r>
    </w:p>
    <w:p w:rsidR="008C1A32" w:rsidRPr="008C1A32" w:rsidRDefault="008C1A32" w:rsidP="008C1A32">
      <w:pPr>
        <w:spacing w:after="120" w:line="240" w:lineRule="auto"/>
        <w:outlineLvl w:val="2"/>
        <w:rPr>
          <w:rFonts w:ascii="Century Gothic" w:eastAsia="Times New Roman" w:hAnsi="Century Gothic" w:cs="Times New Roman"/>
          <w:b/>
          <w:bCs/>
          <w:color w:val="12273F"/>
          <w:sz w:val="20"/>
          <w:szCs w:val="20"/>
          <w:lang w:eastAsia="en-GB"/>
        </w:rPr>
      </w:pPr>
      <w:r w:rsidRPr="008C1A32">
        <w:rPr>
          <w:rFonts w:ascii="Century Gothic" w:eastAsia="Times New Roman" w:hAnsi="Century Gothic" w:cs="Times New Roman"/>
          <w:b/>
          <w:bCs/>
          <w:color w:val="12273F"/>
          <w:sz w:val="20"/>
          <w:szCs w:val="20"/>
          <w:lang w:eastAsia="en-GB"/>
        </w:rPr>
        <w:t>June 2021</w:t>
      </w:r>
    </w:p>
    <w:p w:rsidR="008C1A32" w:rsidRPr="008C1A32" w:rsidRDefault="008C1A32" w:rsidP="008C1A32">
      <w:pPr>
        <w:spacing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We issued a </w:t>
      </w:r>
      <w:hyperlink r:id="rId21" w:history="1">
        <w:r w:rsidRPr="008C1A32">
          <w:rPr>
            <w:rFonts w:ascii="Times New Roman" w:eastAsia="Times New Roman" w:hAnsi="Times New Roman" w:cs="Times New Roman"/>
            <w:b/>
            <w:bCs/>
            <w:color w:val="12273F"/>
            <w:sz w:val="20"/>
            <w:szCs w:val="20"/>
            <w:u w:val="single"/>
            <w:lang w:eastAsia="en-GB"/>
          </w:rPr>
          <w:t>joint statement with the FCA</w:t>
        </w:r>
      </w:hyperlink>
      <w:r w:rsidRPr="008C1A32">
        <w:rPr>
          <w:rFonts w:ascii="Times New Roman" w:eastAsia="Times New Roman" w:hAnsi="Times New Roman" w:cs="Times New Roman"/>
          <w:sz w:val="20"/>
          <w:szCs w:val="20"/>
          <w:lang w:eastAsia="en-GB"/>
        </w:rPr>
        <w:t> supporting the US-led ‘SOFR First’ initiative. The FCA and Bank of England support and encourage market participants in a switch to SOFR in US dollar linear interest rate swap markets from 26 July this year. This is to facilitate a shift in market liquidity towards SOFR, bringing benefits for a wide range of users as they move away from LIBOR.</w:t>
      </w:r>
    </w:p>
    <w:p w:rsidR="008C1A32" w:rsidRPr="008C1A32" w:rsidRDefault="008C1A32" w:rsidP="008C1A32">
      <w:pPr>
        <w:spacing w:after="120" w:line="240" w:lineRule="auto"/>
        <w:outlineLvl w:val="2"/>
        <w:rPr>
          <w:rFonts w:ascii="Century Gothic" w:eastAsia="Times New Roman" w:hAnsi="Century Gothic" w:cs="Times New Roman"/>
          <w:b/>
          <w:bCs/>
          <w:color w:val="12273F"/>
          <w:sz w:val="20"/>
          <w:szCs w:val="20"/>
          <w:lang w:eastAsia="en-GB"/>
        </w:rPr>
      </w:pPr>
      <w:r w:rsidRPr="008C1A32">
        <w:rPr>
          <w:rFonts w:ascii="Century Gothic" w:eastAsia="Times New Roman" w:hAnsi="Century Gothic" w:cs="Times New Roman"/>
          <w:b/>
          <w:bCs/>
          <w:color w:val="12273F"/>
          <w:sz w:val="20"/>
          <w:szCs w:val="20"/>
          <w:lang w:eastAsia="en-GB"/>
        </w:rPr>
        <w:t>May 2021</w:t>
      </w:r>
    </w:p>
    <w:p w:rsidR="008C1A32" w:rsidRPr="008C1A32" w:rsidRDefault="008C1A32" w:rsidP="008C1A32">
      <w:pPr>
        <w:spacing w:after="240"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We published a </w:t>
      </w:r>
      <w:hyperlink r:id="rId22" w:history="1">
        <w:r w:rsidRPr="008C1A32">
          <w:rPr>
            <w:rFonts w:ascii="Times New Roman" w:eastAsia="Times New Roman" w:hAnsi="Times New Roman" w:cs="Times New Roman"/>
            <w:b/>
            <w:bCs/>
            <w:color w:val="12273F"/>
            <w:sz w:val="20"/>
            <w:szCs w:val="20"/>
            <w:u w:val="single"/>
            <w:lang w:eastAsia="en-GB"/>
          </w:rPr>
          <w:t>consultation paper</w:t>
        </w:r>
      </w:hyperlink>
      <w:r w:rsidRPr="008C1A32">
        <w:rPr>
          <w:rFonts w:ascii="Times New Roman" w:eastAsia="Times New Roman" w:hAnsi="Times New Roman" w:cs="Times New Roman"/>
          <w:sz w:val="20"/>
          <w:szCs w:val="20"/>
          <w:lang w:eastAsia="en-GB"/>
        </w:rPr>
        <w:t> on our proposal to modify the scope of contracts which are subject to the derivatives clearing obligation, to reflect ongoing reforms to interest rate benchmarks. The consultation closes on 14 July 2021.</w:t>
      </w:r>
    </w:p>
    <w:p w:rsidR="008C1A32" w:rsidRPr="008C1A32" w:rsidRDefault="008C1A32" w:rsidP="008C1A32">
      <w:pPr>
        <w:spacing w:after="240"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The Governor, Andrew Bailey, joined the ARRC’s second SOFR Symposium event to discuss a sustainable transition from LIBOR. You can read the speech he gave at the event: '</w:t>
      </w:r>
      <w:hyperlink r:id="rId23" w:history="1">
        <w:r w:rsidRPr="008C1A32">
          <w:rPr>
            <w:rFonts w:ascii="Times New Roman" w:eastAsia="Times New Roman" w:hAnsi="Times New Roman" w:cs="Times New Roman"/>
            <w:b/>
            <w:bCs/>
            <w:color w:val="12273F"/>
            <w:sz w:val="20"/>
            <w:szCs w:val="20"/>
            <w:u w:val="single"/>
            <w:lang w:eastAsia="en-GB"/>
          </w:rPr>
          <w:t>Descending Safely: Life after LIBOR</w:t>
        </w:r>
      </w:hyperlink>
      <w:r w:rsidRPr="008C1A32">
        <w:rPr>
          <w:rFonts w:ascii="Times New Roman" w:eastAsia="Times New Roman" w:hAnsi="Times New Roman" w:cs="Times New Roman"/>
          <w:sz w:val="20"/>
          <w:szCs w:val="20"/>
          <w:lang w:eastAsia="en-GB"/>
        </w:rPr>
        <w:t>'. </w:t>
      </w:r>
    </w:p>
    <w:p w:rsidR="008C1A32" w:rsidRPr="008C1A32" w:rsidRDefault="008C1A32" w:rsidP="008C1A32">
      <w:pPr>
        <w:spacing w:after="240"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The third edition of the </w:t>
      </w:r>
      <w:hyperlink r:id="rId24" w:history="1">
        <w:r w:rsidRPr="008C1A32">
          <w:rPr>
            <w:rFonts w:ascii="Times New Roman" w:eastAsia="Times New Roman" w:hAnsi="Times New Roman" w:cs="Times New Roman"/>
            <w:b/>
            <w:bCs/>
            <w:color w:val="12273F"/>
            <w:sz w:val="20"/>
            <w:szCs w:val="20"/>
            <w:u w:val="single"/>
            <w:lang w:eastAsia="en-GB"/>
          </w:rPr>
          <w:t>Regulatory Initiatives Grid</w:t>
        </w:r>
      </w:hyperlink>
      <w:r w:rsidRPr="008C1A32">
        <w:rPr>
          <w:rFonts w:ascii="Times New Roman" w:eastAsia="Times New Roman" w:hAnsi="Times New Roman" w:cs="Times New Roman"/>
          <w:sz w:val="20"/>
          <w:szCs w:val="20"/>
          <w:lang w:eastAsia="en-GB"/>
        </w:rPr>
        <w:t> notes LIBOR transition as a key initiative in the regulatory landscape.  </w:t>
      </w:r>
    </w:p>
    <w:p w:rsidR="008C1A32" w:rsidRPr="008C1A32" w:rsidRDefault="008C1A32" w:rsidP="008C1A32">
      <w:pPr>
        <w:spacing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We issued a </w:t>
      </w:r>
      <w:hyperlink r:id="rId25" w:history="1">
        <w:r w:rsidRPr="008C1A32">
          <w:rPr>
            <w:rFonts w:ascii="Times New Roman" w:eastAsia="Times New Roman" w:hAnsi="Times New Roman" w:cs="Times New Roman"/>
            <w:b/>
            <w:bCs/>
            <w:color w:val="12273F"/>
            <w:sz w:val="20"/>
            <w:szCs w:val="20"/>
            <w:u w:val="single"/>
            <w:lang w:eastAsia="en-GB"/>
          </w:rPr>
          <w:t>joint statement with the FCA</w:t>
        </w:r>
      </w:hyperlink>
      <w:r w:rsidRPr="008C1A32">
        <w:rPr>
          <w:rFonts w:ascii="Times New Roman" w:eastAsia="Times New Roman" w:hAnsi="Times New Roman" w:cs="Times New Roman"/>
          <w:sz w:val="20"/>
          <w:szCs w:val="20"/>
          <w:lang w:eastAsia="en-GB"/>
        </w:rPr>
        <w:t> supporting and encouraging market participants in a switch to SONIA in the sterling exchange traded derivatives market from 17 June this year. This is to facilitate a further shift in market liquidity towards SONIA, bringing benefits for a wide range of users as they move away from LIBOR. </w:t>
      </w:r>
    </w:p>
    <w:p w:rsidR="008C1A32" w:rsidRPr="008C1A32" w:rsidRDefault="008C1A32" w:rsidP="008C1A32">
      <w:pPr>
        <w:spacing w:after="120" w:line="240" w:lineRule="auto"/>
        <w:outlineLvl w:val="2"/>
        <w:rPr>
          <w:rFonts w:ascii="Century Gothic" w:eastAsia="Times New Roman" w:hAnsi="Century Gothic" w:cs="Times New Roman"/>
          <w:b/>
          <w:bCs/>
          <w:color w:val="12273F"/>
          <w:sz w:val="20"/>
          <w:szCs w:val="20"/>
          <w:lang w:eastAsia="en-GB"/>
        </w:rPr>
      </w:pPr>
      <w:r w:rsidRPr="008C1A32">
        <w:rPr>
          <w:rFonts w:ascii="Century Gothic" w:eastAsia="Times New Roman" w:hAnsi="Century Gothic" w:cs="Times New Roman"/>
          <w:b/>
          <w:bCs/>
          <w:color w:val="12273F"/>
          <w:sz w:val="20"/>
          <w:szCs w:val="20"/>
          <w:lang w:eastAsia="en-GB"/>
        </w:rPr>
        <w:t>March 2021</w:t>
      </w:r>
    </w:p>
    <w:p w:rsidR="008C1A32" w:rsidRPr="008C1A32" w:rsidRDefault="008C1A32" w:rsidP="008C1A32">
      <w:pPr>
        <w:spacing w:after="240"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We issued a </w:t>
      </w:r>
      <w:hyperlink r:id="rId26" w:history="1">
        <w:r w:rsidRPr="008C1A32">
          <w:rPr>
            <w:rFonts w:ascii="Times New Roman" w:eastAsia="Times New Roman" w:hAnsi="Times New Roman" w:cs="Times New Roman"/>
            <w:b/>
            <w:bCs/>
            <w:color w:val="12273F"/>
            <w:sz w:val="20"/>
            <w:szCs w:val="20"/>
            <w:u w:val="single"/>
            <w:lang w:eastAsia="en-GB"/>
          </w:rPr>
          <w:t>joint statement with the FCA</w:t>
        </w:r>
      </w:hyperlink>
      <w:r w:rsidRPr="008C1A32">
        <w:rPr>
          <w:rFonts w:ascii="Times New Roman" w:eastAsia="Times New Roman" w:hAnsi="Times New Roman" w:cs="Times New Roman"/>
          <w:sz w:val="20"/>
          <w:szCs w:val="20"/>
          <w:lang w:eastAsia="en-GB"/>
        </w:rPr>
        <w:t> supporting and encouraging liquidity providers in the sterling non-linear derivatives market to adopt new quoting conventions for inter-dealer trading based on SONIA instead of LIBOR from 11 May this year. This is to facilitate a further shift in market liquidity toward SONIA, bringing benefits for a wide range of users as they move away from LIBOR.</w:t>
      </w:r>
    </w:p>
    <w:p w:rsidR="008C1A32" w:rsidRPr="008C1A32" w:rsidRDefault="008C1A32" w:rsidP="008C1A32">
      <w:pPr>
        <w:spacing w:after="240"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The Prudential Regulation Authority (PRA) and FCA have written a </w:t>
      </w:r>
      <w:hyperlink r:id="rId27" w:history="1">
        <w:r w:rsidRPr="008C1A32">
          <w:rPr>
            <w:rFonts w:ascii="Times New Roman" w:eastAsia="Times New Roman" w:hAnsi="Times New Roman" w:cs="Times New Roman"/>
            <w:b/>
            <w:bCs/>
            <w:color w:val="12273F"/>
            <w:sz w:val="20"/>
            <w:szCs w:val="20"/>
            <w:u w:val="single"/>
            <w:lang w:eastAsia="en-GB"/>
          </w:rPr>
          <w:t>joint letter to the CEOs</w:t>
        </w:r>
      </w:hyperlink>
      <w:r w:rsidRPr="008C1A32">
        <w:rPr>
          <w:rFonts w:ascii="Times New Roman" w:eastAsia="Times New Roman" w:hAnsi="Times New Roman" w:cs="Times New Roman"/>
          <w:sz w:val="20"/>
          <w:szCs w:val="20"/>
          <w:lang w:eastAsia="en-GB"/>
        </w:rPr>
        <w:t> of supervised firms setting out supervisory expectations of the transition from LIBOR to risk free rates. The PRA and FCA expect all firms to meet the Working Group’s milestones and the targets of other working groups as appropriate. The letter sets out a list of priority areas where further action by firms is necessary to prepare for the cessation of LIBOR.</w:t>
      </w:r>
    </w:p>
    <w:p w:rsidR="008C1A32" w:rsidRPr="008C1A32" w:rsidRDefault="008C1A32" w:rsidP="008C1A32">
      <w:pPr>
        <w:spacing w:after="0"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Following the </w:t>
      </w:r>
      <w:hyperlink r:id="rId28" w:tgtFrame="_blank" w:history="1">
        <w:r w:rsidRPr="008C1A32">
          <w:rPr>
            <w:rFonts w:ascii="Times New Roman" w:eastAsia="Times New Roman" w:hAnsi="Times New Roman" w:cs="Times New Roman"/>
            <w:b/>
            <w:bCs/>
            <w:color w:val="12273F"/>
            <w:sz w:val="20"/>
            <w:szCs w:val="20"/>
            <w:u w:val="single"/>
            <w:lang w:eastAsia="en-GB"/>
          </w:rPr>
          <w:t xml:space="preserve">FCA's </w:t>
        </w:r>
        <w:proofErr w:type="spellStart"/>
        <w:r w:rsidRPr="008C1A32">
          <w:rPr>
            <w:rFonts w:ascii="Times New Roman" w:eastAsia="Times New Roman" w:hAnsi="Times New Roman" w:cs="Times New Roman"/>
            <w:b/>
            <w:bCs/>
            <w:color w:val="12273F"/>
            <w:sz w:val="20"/>
            <w:szCs w:val="20"/>
            <w:u w:val="single"/>
            <w:lang w:eastAsia="en-GB"/>
          </w:rPr>
          <w:t>announcement</w:t>
        </w:r>
        <w:r w:rsidRPr="008C1A32">
          <w:rPr>
            <w:rFonts w:ascii="Times New Roman" w:eastAsia="Times New Roman" w:hAnsi="Times New Roman" w:cs="Times New Roman"/>
            <w:b/>
            <w:bCs/>
            <w:color w:val="12273F"/>
            <w:sz w:val="20"/>
            <w:szCs w:val="20"/>
            <w:u w:val="single"/>
            <w:bdr w:val="none" w:sz="0" w:space="0" w:color="auto" w:frame="1"/>
            <w:lang w:eastAsia="en-GB"/>
          </w:rPr>
          <w:t>Opens</w:t>
        </w:r>
        <w:proofErr w:type="spellEnd"/>
        <w:r w:rsidRPr="008C1A32">
          <w:rPr>
            <w:rFonts w:ascii="Times New Roman" w:eastAsia="Times New Roman" w:hAnsi="Times New Roman" w:cs="Times New Roman"/>
            <w:b/>
            <w:bCs/>
            <w:color w:val="12273F"/>
            <w:sz w:val="20"/>
            <w:szCs w:val="20"/>
            <w:u w:val="single"/>
            <w:bdr w:val="none" w:sz="0" w:space="0" w:color="auto" w:frame="1"/>
            <w:lang w:eastAsia="en-GB"/>
          </w:rPr>
          <w:t xml:space="preserve"> in a new window</w:t>
        </w:r>
      </w:hyperlink>
      <w:r w:rsidRPr="008C1A32">
        <w:rPr>
          <w:rFonts w:ascii="Times New Roman" w:eastAsia="Times New Roman" w:hAnsi="Times New Roman" w:cs="Times New Roman"/>
          <w:sz w:val="20"/>
          <w:szCs w:val="20"/>
          <w:lang w:eastAsia="en-GB"/>
        </w:rPr>
        <w:t> confirming cessation dates for panel bank LIBOR settings, we issued a revised </w:t>
      </w:r>
      <w:hyperlink r:id="rId29" w:history="1">
        <w:r w:rsidRPr="008C1A32">
          <w:rPr>
            <w:rFonts w:ascii="Times New Roman" w:eastAsia="Times New Roman" w:hAnsi="Times New Roman" w:cs="Times New Roman"/>
            <w:b/>
            <w:bCs/>
            <w:color w:val="12273F"/>
            <w:sz w:val="20"/>
            <w:szCs w:val="20"/>
            <w:u w:val="single"/>
            <w:lang w:eastAsia="en-GB"/>
          </w:rPr>
          <w:t>Market Notice</w:t>
        </w:r>
      </w:hyperlink>
      <w:r w:rsidRPr="008C1A32">
        <w:rPr>
          <w:rFonts w:ascii="Times New Roman" w:eastAsia="Times New Roman" w:hAnsi="Times New Roman" w:cs="Times New Roman"/>
          <w:sz w:val="20"/>
          <w:szCs w:val="20"/>
          <w:lang w:eastAsia="en-GB"/>
        </w:rPr>
        <w:t> regarding the use of LIBOR-linked collateral used in the Sterling Monetary Framework.</w:t>
      </w:r>
    </w:p>
    <w:p w:rsidR="008C1A32" w:rsidRPr="008C1A32" w:rsidRDefault="008C1A32" w:rsidP="008C1A32">
      <w:pPr>
        <w:spacing w:after="0"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Alongside the Working Group and the Financial Conduct Authority (FCA), </w:t>
      </w:r>
      <w:hyperlink r:id="rId30" w:tgtFrame="_blank" w:history="1">
        <w:r w:rsidRPr="008C1A32">
          <w:rPr>
            <w:rFonts w:ascii="Times New Roman" w:eastAsia="Times New Roman" w:hAnsi="Times New Roman" w:cs="Times New Roman"/>
            <w:b/>
            <w:bCs/>
            <w:color w:val="12273F"/>
            <w:sz w:val="20"/>
            <w:szCs w:val="20"/>
            <w:u w:val="single"/>
            <w:lang w:eastAsia="en-GB"/>
          </w:rPr>
          <w:t xml:space="preserve">we </w:t>
        </w:r>
        <w:proofErr w:type="spellStart"/>
        <w:r w:rsidRPr="008C1A32">
          <w:rPr>
            <w:rFonts w:ascii="Times New Roman" w:eastAsia="Times New Roman" w:hAnsi="Times New Roman" w:cs="Times New Roman"/>
            <w:b/>
            <w:bCs/>
            <w:color w:val="12273F"/>
            <w:sz w:val="20"/>
            <w:szCs w:val="20"/>
            <w:u w:val="single"/>
            <w:lang w:eastAsia="en-GB"/>
          </w:rPr>
          <w:t>welcomed</w:t>
        </w:r>
        <w:r w:rsidRPr="008C1A32">
          <w:rPr>
            <w:rFonts w:ascii="Times New Roman" w:eastAsia="Times New Roman" w:hAnsi="Times New Roman" w:cs="Times New Roman"/>
            <w:b/>
            <w:bCs/>
            <w:color w:val="12273F"/>
            <w:sz w:val="20"/>
            <w:szCs w:val="20"/>
            <w:u w:val="single"/>
            <w:bdr w:val="none" w:sz="0" w:space="0" w:color="auto" w:frame="1"/>
            <w:lang w:eastAsia="en-GB"/>
          </w:rPr>
          <w:t>Opens</w:t>
        </w:r>
        <w:proofErr w:type="spellEnd"/>
        <w:r w:rsidRPr="008C1A32">
          <w:rPr>
            <w:rFonts w:ascii="Times New Roman" w:eastAsia="Times New Roman" w:hAnsi="Times New Roman" w:cs="Times New Roman"/>
            <w:b/>
            <w:bCs/>
            <w:color w:val="12273F"/>
            <w:sz w:val="20"/>
            <w:szCs w:val="20"/>
            <w:u w:val="single"/>
            <w:bdr w:val="none" w:sz="0" w:space="0" w:color="auto" w:frame="1"/>
            <w:lang w:eastAsia="en-GB"/>
          </w:rPr>
          <w:t xml:space="preserve"> in a new window</w:t>
        </w:r>
      </w:hyperlink>
      <w:r w:rsidRPr="008C1A32">
        <w:rPr>
          <w:rFonts w:ascii="Times New Roman" w:eastAsia="Times New Roman" w:hAnsi="Times New Roman" w:cs="Times New Roman"/>
          <w:sz w:val="20"/>
          <w:szCs w:val="20"/>
          <w:lang w:eastAsia="en-GB"/>
        </w:rPr>
        <w:t> a proposed market </w:t>
      </w:r>
      <w:hyperlink r:id="rId31" w:tgtFrame="_blank" w:history="1">
        <w:r w:rsidRPr="008C1A32">
          <w:rPr>
            <w:rFonts w:ascii="Times New Roman" w:eastAsia="Times New Roman" w:hAnsi="Times New Roman" w:cs="Times New Roman"/>
            <w:b/>
            <w:bCs/>
            <w:color w:val="12273F"/>
            <w:sz w:val="20"/>
            <w:szCs w:val="20"/>
            <w:u w:val="single"/>
            <w:lang w:eastAsia="en-GB"/>
          </w:rPr>
          <w:t xml:space="preserve">standard on the use of Term SONIA reference </w:t>
        </w:r>
        <w:proofErr w:type="spellStart"/>
        <w:r w:rsidRPr="008C1A32">
          <w:rPr>
            <w:rFonts w:ascii="Times New Roman" w:eastAsia="Times New Roman" w:hAnsi="Times New Roman" w:cs="Times New Roman"/>
            <w:b/>
            <w:bCs/>
            <w:color w:val="12273F"/>
            <w:sz w:val="20"/>
            <w:szCs w:val="20"/>
            <w:u w:val="single"/>
            <w:lang w:eastAsia="en-GB"/>
          </w:rPr>
          <w:t>rates</w:t>
        </w:r>
        <w:r w:rsidRPr="008C1A32">
          <w:rPr>
            <w:rFonts w:ascii="Times New Roman" w:eastAsia="Times New Roman" w:hAnsi="Times New Roman" w:cs="Times New Roman"/>
            <w:b/>
            <w:bCs/>
            <w:color w:val="12273F"/>
            <w:sz w:val="20"/>
            <w:szCs w:val="20"/>
            <w:u w:val="single"/>
            <w:bdr w:val="none" w:sz="0" w:space="0" w:color="auto" w:frame="1"/>
            <w:lang w:eastAsia="en-GB"/>
          </w:rPr>
          <w:t>Opens</w:t>
        </w:r>
        <w:proofErr w:type="spellEnd"/>
        <w:r w:rsidRPr="008C1A32">
          <w:rPr>
            <w:rFonts w:ascii="Times New Roman" w:eastAsia="Times New Roman" w:hAnsi="Times New Roman" w:cs="Times New Roman"/>
            <w:b/>
            <w:bCs/>
            <w:color w:val="12273F"/>
            <w:sz w:val="20"/>
            <w:szCs w:val="20"/>
            <w:u w:val="single"/>
            <w:bdr w:val="none" w:sz="0" w:space="0" w:color="auto" w:frame="1"/>
            <w:lang w:eastAsia="en-GB"/>
          </w:rPr>
          <w:t xml:space="preserve"> in a new window</w:t>
        </w:r>
      </w:hyperlink>
      <w:r w:rsidRPr="008C1A32">
        <w:rPr>
          <w:rFonts w:ascii="Times New Roman" w:eastAsia="Times New Roman" w:hAnsi="Times New Roman" w:cs="Times New Roman"/>
          <w:sz w:val="20"/>
          <w:szCs w:val="20"/>
          <w:lang w:eastAsia="en-GB"/>
        </w:rPr>
        <w:t>, published by the FICC Markets Standards Board. We have encouraged widespread adoption of SONIA compounded in arrears in derivative markets in particular, keeping use of Term SONIA limited to specific use cases primarily in cash markets, to provide the most robust foundations for sterling interest rate markets.</w:t>
      </w:r>
    </w:p>
    <w:p w:rsidR="008C1A32" w:rsidRPr="008C1A32" w:rsidRDefault="008C1A32" w:rsidP="008C1A32">
      <w:pPr>
        <w:spacing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We released a </w:t>
      </w:r>
      <w:hyperlink r:id="rId32" w:history="1">
        <w:r w:rsidRPr="008C1A32">
          <w:rPr>
            <w:rFonts w:ascii="Times New Roman" w:eastAsia="Times New Roman" w:hAnsi="Times New Roman" w:cs="Times New Roman"/>
            <w:b/>
            <w:bCs/>
            <w:color w:val="12273F"/>
            <w:sz w:val="20"/>
            <w:szCs w:val="20"/>
            <w:u w:val="single"/>
            <w:lang w:eastAsia="en-GB"/>
          </w:rPr>
          <w:t>joint statement with the FCA</w:t>
        </w:r>
      </w:hyperlink>
      <w:r w:rsidRPr="008C1A32">
        <w:rPr>
          <w:rFonts w:ascii="Times New Roman" w:eastAsia="Times New Roman" w:hAnsi="Times New Roman" w:cs="Times New Roman"/>
          <w:sz w:val="20"/>
          <w:szCs w:val="20"/>
          <w:lang w:eastAsia="en-GB"/>
        </w:rPr>
        <w:t xml:space="preserve">, alongside the announcement of end dates on which panel bank submissions for all LIBOR settings will cease. At the same time, ISDA confirmed the cessation announcement would trigger the fixing of the ‘spread adjustments’ to be used in its IBOR </w:t>
      </w:r>
      <w:proofErr w:type="spellStart"/>
      <w:r w:rsidRPr="008C1A32">
        <w:rPr>
          <w:rFonts w:ascii="Times New Roman" w:eastAsia="Times New Roman" w:hAnsi="Times New Roman" w:cs="Times New Roman"/>
          <w:sz w:val="20"/>
          <w:szCs w:val="20"/>
          <w:lang w:eastAsia="en-GB"/>
        </w:rPr>
        <w:t>fallbacks</w:t>
      </w:r>
      <w:proofErr w:type="spellEnd"/>
      <w:r w:rsidRPr="008C1A32">
        <w:rPr>
          <w:rFonts w:ascii="Times New Roman" w:eastAsia="Times New Roman" w:hAnsi="Times New Roman" w:cs="Times New Roman"/>
          <w:sz w:val="20"/>
          <w:szCs w:val="20"/>
          <w:lang w:eastAsia="en-GB"/>
        </w:rPr>
        <w:t>. Regulated firms should expect further engagement from their supervisors at both the Prudential Regulation Authority (PRA) and the FCA to ensure industry timelines for transition are met.</w:t>
      </w:r>
    </w:p>
    <w:p w:rsidR="008C1A32" w:rsidRPr="008C1A32" w:rsidRDefault="008C1A32" w:rsidP="008C1A32">
      <w:pPr>
        <w:spacing w:after="120" w:line="240" w:lineRule="auto"/>
        <w:outlineLvl w:val="2"/>
        <w:rPr>
          <w:rFonts w:ascii="Century Gothic" w:eastAsia="Times New Roman" w:hAnsi="Century Gothic" w:cs="Times New Roman"/>
          <w:b/>
          <w:bCs/>
          <w:color w:val="12273F"/>
          <w:sz w:val="20"/>
          <w:szCs w:val="20"/>
          <w:lang w:eastAsia="en-GB"/>
        </w:rPr>
      </w:pPr>
      <w:r w:rsidRPr="008C1A32">
        <w:rPr>
          <w:rFonts w:ascii="Century Gothic" w:eastAsia="Times New Roman" w:hAnsi="Century Gothic" w:cs="Times New Roman"/>
          <w:b/>
          <w:bCs/>
          <w:color w:val="12273F"/>
          <w:sz w:val="20"/>
          <w:szCs w:val="20"/>
          <w:lang w:eastAsia="en-GB"/>
        </w:rPr>
        <w:t>January 2021</w:t>
      </w:r>
    </w:p>
    <w:p w:rsidR="008C1A32" w:rsidRPr="008C1A32" w:rsidRDefault="008C1A32" w:rsidP="008C1A32">
      <w:pPr>
        <w:spacing w:after="0"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Alongside the Working Group and the FCA, we released a </w:t>
      </w:r>
      <w:hyperlink r:id="rId33" w:history="1">
        <w:r w:rsidRPr="008C1A32">
          <w:rPr>
            <w:rFonts w:ascii="Times New Roman" w:eastAsia="Times New Roman" w:hAnsi="Times New Roman" w:cs="Times New Roman"/>
            <w:b/>
            <w:bCs/>
            <w:color w:val="12273F"/>
            <w:sz w:val="20"/>
            <w:szCs w:val="20"/>
            <w:u w:val="single"/>
            <w:lang w:eastAsia="en-GB"/>
          </w:rPr>
          <w:t>statement</w:t>
        </w:r>
      </w:hyperlink>
      <w:r w:rsidRPr="008C1A32">
        <w:rPr>
          <w:rFonts w:ascii="Times New Roman" w:eastAsia="Times New Roman" w:hAnsi="Times New Roman" w:cs="Times New Roman"/>
          <w:sz w:val="20"/>
          <w:szCs w:val="20"/>
          <w:lang w:eastAsia="en-GB"/>
        </w:rPr>
        <w:t> to accompany an update to the Working Group’s </w:t>
      </w:r>
      <w:hyperlink r:id="rId34" w:tgtFrame="_blank" w:history="1">
        <w:r w:rsidRPr="008C1A32">
          <w:rPr>
            <w:rFonts w:ascii="Times New Roman" w:eastAsia="Times New Roman" w:hAnsi="Times New Roman" w:cs="Times New Roman"/>
            <w:b/>
            <w:bCs/>
            <w:color w:val="12273F"/>
            <w:sz w:val="20"/>
            <w:szCs w:val="20"/>
            <w:u w:val="single"/>
            <w:lang w:eastAsia="en-GB"/>
          </w:rPr>
          <w:t xml:space="preserve">priorities and </w:t>
        </w:r>
        <w:proofErr w:type="spellStart"/>
        <w:r w:rsidRPr="008C1A32">
          <w:rPr>
            <w:rFonts w:ascii="Times New Roman" w:eastAsia="Times New Roman" w:hAnsi="Times New Roman" w:cs="Times New Roman"/>
            <w:b/>
            <w:bCs/>
            <w:color w:val="12273F"/>
            <w:sz w:val="20"/>
            <w:szCs w:val="20"/>
            <w:u w:val="single"/>
            <w:lang w:eastAsia="en-GB"/>
          </w:rPr>
          <w:t>roadmap</w:t>
        </w:r>
        <w:r w:rsidRPr="008C1A32">
          <w:rPr>
            <w:rFonts w:ascii="Times New Roman" w:eastAsia="Times New Roman" w:hAnsi="Times New Roman" w:cs="Times New Roman"/>
            <w:b/>
            <w:bCs/>
            <w:color w:val="12273F"/>
            <w:sz w:val="20"/>
            <w:szCs w:val="20"/>
            <w:u w:val="single"/>
            <w:bdr w:val="none" w:sz="0" w:space="0" w:color="auto" w:frame="1"/>
            <w:lang w:eastAsia="en-GB"/>
          </w:rPr>
          <w:t>Opens</w:t>
        </w:r>
        <w:proofErr w:type="spellEnd"/>
        <w:r w:rsidRPr="008C1A32">
          <w:rPr>
            <w:rFonts w:ascii="Times New Roman" w:eastAsia="Times New Roman" w:hAnsi="Times New Roman" w:cs="Times New Roman"/>
            <w:b/>
            <w:bCs/>
            <w:color w:val="12273F"/>
            <w:sz w:val="20"/>
            <w:szCs w:val="20"/>
            <w:u w:val="single"/>
            <w:bdr w:val="none" w:sz="0" w:space="0" w:color="auto" w:frame="1"/>
            <w:lang w:eastAsia="en-GB"/>
          </w:rPr>
          <w:t xml:space="preserve"> in a new </w:t>
        </w:r>
        <w:proofErr w:type="spellStart"/>
        <w:r w:rsidRPr="008C1A32">
          <w:rPr>
            <w:rFonts w:ascii="Times New Roman" w:eastAsia="Times New Roman" w:hAnsi="Times New Roman" w:cs="Times New Roman"/>
            <w:b/>
            <w:bCs/>
            <w:color w:val="12273F"/>
            <w:sz w:val="20"/>
            <w:szCs w:val="20"/>
            <w:u w:val="single"/>
            <w:bdr w:val="none" w:sz="0" w:space="0" w:color="auto" w:frame="1"/>
            <w:lang w:eastAsia="en-GB"/>
          </w:rPr>
          <w:t>window</w:t>
        </w:r>
      </w:hyperlink>
      <w:r w:rsidRPr="008C1A32">
        <w:rPr>
          <w:rFonts w:ascii="Times New Roman" w:eastAsia="Times New Roman" w:hAnsi="Times New Roman" w:cs="Times New Roman"/>
          <w:sz w:val="20"/>
          <w:szCs w:val="20"/>
          <w:bdr w:val="none" w:sz="0" w:space="0" w:color="auto" w:frame="1"/>
          <w:lang w:eastAsia="en-GB"/>
        </w:rPr>
        <w:t>Opens</w:t>
      </w:r>
      <w:proofErr w:type="spellEnd"/>
      <w:r w:rsidRPr="008C1A32">
        <w:rPr>
          <w:rFonts w:ascii="Times New Roman" w:eastAsia="Times New Roman" w:hAnsi="Times New Roman" w:cs="Times New Roman"/>
          <w:sz w:val="20"/>
          <w:szCs w:val="20"/>
          <w:bdr w:val="none" w:sz="0" w:space="0" w:color="auto" w:frame="1"/>
          <w:lang w:eastAsia="en-GB"/>
        </w:rPr>
        <w:t xml:space="preserve"> in a new </w:t>
      </w:r>
      <w:proofErr w:type="spellStart"/>
      <w:r w:rsidRPr="008C1A32">
        <w:rPr>
          <w:rFonts w:ascii="Times New Roman" w:eastAsia="Times New Roman" w:hAnsi="Times New Roman" w:cs="Times New Roman"/>
          <w:sz w:val="20"/>
          <w:szCs w:val="20"/>
          <w:bdr w:val="none" w:sz="0" w:space="0" w:color="auto" w:frame="1"/>
          <w:lang w:eastAsia="en-GB"/>
        </w:rPr>
        <w:t>windowOpens</w:t>
      </w:r>
      <w:proofErr w:type="spellEnd"/>
      <w:r w:rsidRPr="008C1A32">
        <w:rPr>
          <w:rFonts w:ascii="Times New Roman" w:eastAsia="Times New Roman" w:hAnsi="Times New Roman" w:cs="Times New Roman"/>
          <w:sz w:val="20"/>
          <w:szCs w:val="20"/>
          <w:bdr w:val="none" w:sz="0" w:space="0" w:color="auto" w:frame="1"/>
          <w:lang w:eastAsia="en-GB"/>
        </w:rPr>
        <w:t xml:space="preserve"> in a new </w:t>
      </w:r>
      <w:proofErr w:type="spellStart"/>
      <w:r w:rsidRPr="008C1A32">
        <w:rPr>
          <w:rFonts w:ascii="Times New Roman" w:eastAsia="Times New Roman" w:hAnsi="Times New Roman" w:cs="Times New Roman"/>
          <w:sz w:val="20"/>
          <w:szCs w:val="20"/>
          <w:bdr w:val="none" w:sz="0" w:space="0" w:color="auto" w:frame="1"/>
          <w:lang w:eastAsia="en-GB"/>
        </w:rPr>
        <w:t>windowOpens</w:t>
      </w:r>
      <w:proofErr w:type="spellEnd"/>
      <w:r w:rsidRPr="008C1A32">
        <w:rPr>
          <w:rFonts w:ascii="Times New Roman" w:eastAsia="Times New Roman" w:hAnsi="Times New Roman" w:cs="Times New Roman"/>
          <w:sz w:val="20"/>
          <w:szCs w:val="20"/>
          <w:bdr w:val="none" w:sz="0" w:space="0" w:color="auto" w:frame="1"/>
          <w:lang w:eastAsia="en-GB"/>
        </w:rPr>
        <w:t xml:space="preserve"> in a new window</w:t>
      </w:r>
      <w:r w:rsidRPr="008C1A32">
        <w:rPr>
          <w:rFonts w:ascii="Times New Roman" w:eastAsia="Times New Roman" w:hAnsi="Times New Roman" w:cs="Times New Roman"/>
          <w:sz w:val="20"/>
          <w:szCs w:val="20"/>
          <w:lang w:eastAsia="en-GB"/>
        </w:rPr>
        <w:t>, intended to help businesses to finish planning the steps they will need to take in the coming months.</w:t>
      </w:r>
    </w:p>
    <w:p w:rsidR="008C1A32" w:rsidRPr="008C1A32" w:rsidRDefault="008C1A32" w:rsidP="008C1A32">
      <w:pPr>
        <w:spacing w:line="240" w:lineRule="auto"/>
        <w:rPr>
          <w:rFonts w:ascii="Times New Roman" w:eastAsia="Times New Roman" w:hAnsi="Times New Roman" w:cs="Times New Roman"/>
          <w:sz w:val="20"/>
          <w:szCs w:val="20"/>
          <w:lang w:eastAsia="en-GB"/>
        </w:rPr>
      </w:pPr>
      <w:r w:rsidRPr="008C1A32">
        <w:rPr>
          <w:rFonts w:ascii="Times New Roman" w:eastAsia="Times New Roman" w:hAnsi="Times New Roman" w:cs="Times New Roman"/>
          <w:sz w:val="20"/>
          <w:szCs w:val="20"/>
          <w:lang w:eastAsia="en-GB"/>
        </w:rPr>
        <w:t>The PRA published a </w:t>
      </w:r>
      <w:hyperlink r:id="rId35" w:history="1">
        <w:r w:rsidRPr="008C1A32">
          <w:rPr>
            <w:rFonts w:ascii="Times New Roman" w:eastAsia="Times New Roman" w:hAnsi="Times New Roman" w:cs="Times New Roman"/>
            <w:b/>
            <w:bCs/>
            <w:color w:val="12273F"/>
            <w:sz w:val="20"/>
            <w:szCs w:val="20"/>
            <w:u w:val="single"/>
            <w:lang w:eastAsia="en-GB"/>
          </w:rPr>
          <w:t>consultation paper</w:t>
        </w:r>
      </w:hyperlink>
      <w:r w:rsidRPr="008C1A32">
        <w:rPr>
          <w:rFonts w:ascii="Times New Roman" w:eastAsia="Times New Roman" w:hAnsi="Times New Roman" w:cs="Times New Roman"/>
          <w:sz w:val="20"/>
          <w:szCs w:val="20"/>
          <w:lang w:eastAsia="en-GB"/>
        </w:rPr>
        <w:t> setting out its proposed approach to deep, liquid and transparent assessments and the transition of Solvency II technical information from LIBOR to SONIA in 2021. The consultation closes on 31 March 2021.</w:t>
      </w:r>
    </w:p>
    <w:p w:rsidR="008C1A32" w:rsidRPr="008C1A32" w:rsidRDefault="008C1A32" w:rsidP="008C1A32">
      <w:pPr>
        <w:pStyle w:val="Heading2"/>
        <w:spacing w:before="0" w:beforeAutospacing="0" w:after="120" w:afterAutospacing="0"/>
        <w:rPr>
          <w:rFonts w:ascii="Century Gothic" w:hAnsi="Century Gothic"/>
          <w:color w:val="12273F"/>
          <w:sz w:val="20"/>
          <w:szCs w:val="20"/>
        </w:rPr>
      </w:pPr>
      <w:r>
        <w:rPr>
          <w:rFonts w:ascii="Century Gothic" w:hAnsi="Century Gothic"/>
          <w:color w:val="12273F"/>
          <w:sz w:val="20"/>
          <w:szCs w:val="20"/>
        </w:rPr>
        <w:t>SONIA</w:t>
      </w:r>
    </w:p>
    <w:p w:rsidR="008C1A32" w:rsidRPr="008C1A32" w:rsidRDefault="008C1A32" w:rsidP="008C1A32">
      <w:pPr>
        <w:pStyle w:val="NormalWeb"/>
        <w:spacing w:before="0" w:beforeAutospacing="0" w:after="240" w:afterAutospacing="0"/>
        <w:rPr>
          <w:sz w:val="20"/>
          <w:szCs w:val="20"/>
        </w:rPr>
      </w:pPr>
      <w:r w:rsidRPr="008C1A32">
        <w:rPr>
          <w:sz w:val="20"/>
          <w:szCs w:val="20"/>
        </w:rPr>
        <w:t>SONIA (Sterling Overnight Index Average) is an important interest rate benchmark.</w:t>
      </w:r>
    </w:p>
    <w:p w:rsidR="008C1A32" w:rsidRPr="008C1A32" w:rsidRDefault="008C1A32" w:rsidP="008C1A32">
      <w:pPr>
        <w:pStyle w:val="NormalWeb"/>
        <w:spacing w:before="0" w:beforeAutospacing="0" w:after="240" w:afterAutospacing="0"/>
        <w:rPr>
          <w:sz w:val="20"/>
          <w:szCs w:val="20"/>
        </w:rPr>
      </w:pPr>
      <w:r w:rsidRPr="008C1A32">
        <w:rPr>
          <w:sz w:val="20"/>
          <w:szCs w:val="20"/>
        </w:rPr>
        <w:t>We are the administrator for SONIA. That means we take responsibility for its governance and publication every London business day.</w:t>
      </w:r>
    </w:p>
    <w:p w:rsidR="008C1A32" w:rsidRPr="008C1A32" w:rsidRDefault="008C1A32" w:rsidP="008C1A32">
      <w:pPr>
        <w:pStyle w:val="NormalWeb"/>
        <w:spacing w:before="0" w:beforeAutospacing="0" w:after="240" w:afterAutospacing="0"/>
        <w:rPr>
          <w:sz w:val="20"/>
          <w:szCs w:val="20"/>
        </w:rPr>
      </w:pPr>
      <w:r w:rsidRPr="008C1A32">
        <w:rPr>
          <w:sz w:val="20"/>
          <w:szCs w:val="20"/>
        </w:rPr>
        <w:t>SONIA is based on actual transactions and reflects the average of the interest rates that banks pay to borrow sterling overnight from other financial institutions and other institutional investors.</w:t>
      </w:r>
    </w:p>
    <w:p w:rsidR="008C1A32" w:rsidRPr="005D3A75" w:rsidRDefault="008C1A32" w:rsidP="008C1A32">
      <w:pPr>
        <w:pStyle w:val="NormalWeb"/>
        <w:spacing w:before="0" w:beforeAutospacing="0" w:after="240" w:afterAutospacing="0"/>
        <w:rPr>
          <w:sz w:val="20"/>
          <w:szCs w:val="20"/>
        </w:rPr>
      </w:pPr>
      <w:r w:rsidRPr="008C1A32">
        <w:rPr>
          <w:sz w:val="20"/>
          <w:szCs w:val="20"/>
        </w:rPr>
        <w:t xml:space="preserve">Financial businesses and institutions use SONIA in a variety of ways. For example, to calculate the interest paid </w:t>
      </w:r>
      <w:r w:rsidRPr="005D3A75">
        <w:rPr>
          <w:sz w:val="20"/>
          <w:szCs w:val="20"/>
        </w:rPr>
        <w:t xml:space="preserve">on swap transactions and sterling floating rate </w:t>
      </w:r>
      <w:proofErr w:type="gramStart"/>
      <w:r w:rsidRPr="005D3A75">
        <w:rPr>
          <w:sz w:val="20"/>
          <w:szCs w:val="20"/>
        </w:rPr>
        <w:t>notes .</w:t>
      </w:r>
      <w:proofErr w:type="gramEnd"/>
      <w:r w:rsidRPr="005D3A75">
        <w:rPr>
          <w:sz w:val="20"/>
          <w:szCs w:val="20"/>
        </w:rPr>
        <w:t xml:space="preserve"> SONIA is used to value around £30 trillion of assets each year. </w:t>
      </w:r>
    </w:p>
    <w:p w:rsidR="008C1A32" w:rsidRPr="005D3A75" w:rsidRDefault="008C1A32" w:rsidP="008C1A32">
      <w:pPr>
        <w:pStyle w:val="NormalWeb"/>
        <w:spacing w:before="0" w:beforeAutospacing="0" w:after="240" w:afterAutospacing="0"/>
        <w:rPr>
          <w:sz w:val="20"/>
          <w:szCs w:val="20"/>
        </w:rPr>
      </w:pPr>
      <w:r w:rsidRPr="005D3A75">
        <w:rPr>
          <w:sz w:val="20"/>
          <w:szCs w:val="20"/>
        </w:rPr>
        <w:t>SONIA is the Working Group on Sterling Risk Free Reference Rates’ preferred benchmark for the </w:t>
      </w:r>
      <w:hyperlink r:id="rId36" w:history="1">
        <w:r w:rsidRPr="005D3A75">
          <w:rPr>
            <w:rStyle w:val="Hyperlink"/>
            <w:b/>
            <w:bCs/>
            <w:color w:val="12273F"/>
            <w:sz w:val="20"/>
            <w:szCs w:val="20"/>
          </w:rPr>
          <w:t>transition to sterling risk-free rates from Libor</w:t>
        </w:r>
      </w:hyperlink>
      <w:r w:rsidRPr="005D3A75">
        <w:rPr>
          <w:sz w:val="20"/>
          <w:szCs w:val="20"/>
        </w:rPr>
        <w:t>.</w:t>
      </w:r>
    </w:p>
    <w:p w:rsidR="008C1A32" w:rsidRPr="005D3A75" w:rsidRDefault="008C1A32" w:rsidP="008C1A32">
      <w:pPr>
        <w:pStyle w:val="NormalWeb"/>
        <w:spacing w:before="0" w:beforeAutospacing="0" w:after="240" w:afterAutospacing="0"/>
        <w:rPr>
          <w:sz w:val="20"/>
          <w:szCs w:val="20"/>
        </w:rPr>
      </w:pPr>
      <w:r w:rsidRPr="005D3A75">
        <w:rPr>
          <w:sz w:val="20"/>
          <w:szCs w:val="20"/>
        </w:rPr>
        <w:t>Our Monetary Policy Committee decides what monetary policy action we take as a central bank. We implement our monetary policy by taking an active role in the financial markets using our </w:t>
      </w:r>
      <w:hyperlink r:id="rId37" w:history="1">
        <w:r w:rsidRPr="005D3A75">
          <w:rPr>
            <w:rStyle w:val="Hyperlink"/>
            <w:b/>
            <w:bCs/>
            <w:color w:val="12273F"/>
            <w:sz w:val="20"/>
            <w:szCs w:val="20"/>
          </w:rPr>
          <w:t>Sterling Monetary Framework</w:t>
        </w:r>
      </w:hyperlink>
      <w:r w:rsidRPr="005D3A75">
        <w:rPr>
          <w:sz w:val="20"/>
          <w:szCs w:val="20"/>
        </w:rPr>
        <w:t>. SONIA is referenced in over £90 trillion of new transactions each year (based on LCH total volume of OIS cleared swaps during 2020).     </w:t>
      </w:r>
    </w:p>
    <w:p w:rsidR="008C1A32" w:rsidRPr="005D3A75" w:rsidRDefault="008C1A32" w:rsidP="008C1A32">
      <w:pPr>
        <w:pStyle w:val="NormalWeb"/>
        <w:spacing w:before="0" w:beforeAutospacing="0" w:after="240" w:afterAutospacing="0"/>
        <w:rPr>
          <w:sz w:val="20"/>
          <w:szCs w:val="20"/>
        </w:rPr>
      </w:pPr>
      <w:r w:rsidRPr="005D3A75">
        <w:rPr>
          <w:sz w:val="20"/>
          <w:szCs w:val="20"/>
        </w:rPr>
        <w:t>SONIA was introduced in March 1997. We took responsibility for it in 2016 and, after consultation, we </w:t>
      </w:r>
      <w:hyperlink r:id="rId38" w:anchor="reform" w:history="1">
        <w:r w:rsidRPr="005D3A75">
          <w:rPr>
            <w:rStyle w:val="Hyperlink"/>
            <w:b/>
            <w:bCs/>
            <w:color w:val="12273F"/>
            <w:sz w:val="20"/>
            <w:szCs w:val="20"/>
          </w:rPr>
          <w:t>reformed it in 2018</w:t>
        </w:r>
      </w:hyperlink>
      <w:r w:rsidRPr="005D3A75">
        <w:rPr>
          <w:sz w:val="20"/>
          <w:szCs w:val="20"/>
        </w:rPr>
        <w:t>. The way we run SONIA </w:t>
      </w:r>
      <w:hyperlink r:id="rId39" w:anchor="international" w:history="1">
        <w:r w:rsidRPr="005D3A75">
          <w:rPr>
            <w:rStyle w:val="Hyperlink"/>
            <w:b/>
            <w:bCs/>
            <w:color w:val="12273F"/>
            <w:sz w:val="20"/>
            <w:szCs w:val="20"/>
          </w:rPr>
          <w:t>complies with international best practice</w:t>
        </w:r>
      </w:hyperlink>
      <w:r w:rsidRPr="005D3A75">
        <w:rPr>
          <w:sz w:val="20"/>
          <w:szCs w:val="20"/>
        </w:rPr>
        <w:t> for financial benchmarks.  </w:t>
      </w:r>
    </w:p>
    <w:p w:rsidR="008C1A32" w:rsidRPr="005D3A75" w:rsidRDefault="008C1A32" w:rsidP="008C1A32">
      <w:pPr>
        <w:rPr>
          <w:sz w:val="20"/>
          <w:szCs w:val="20"/>
        </w:rPr>
      </w:pPr>
      <w:r w:rsidRPr="005D3A75">
        <w:rPr>
          <w:sz w:val="20"/>
          <w:szCs w:val="20"/>
        </w:rPr>
        <w:t>To support the Risk-Free Rate transition in sterling markets we began publishing the SONIA Compounded Index from 3 August 2020. This simplifies the calculation of compounded interest rates and in doing so provides a standardised basis through its publication as an official source.</w:t>
      </w:r>
    </w:p>
    <w:p w:rsidR="005D3A75" w:rsidRPr="005D3A75" w:rsidRDefault="005D3A75" w:rsidP="005D3A75">
      <w:pPr>
        <w:pStyle w:val="Heading2"/>
        <w:spacing w:before="0" w:beforeAutospacing="0" w:after="120" w:afterAutospacing="0"/>
        <w:rPr>
          <w:rFonts w:ascii="Century Gothic" w:hAnsi="Century Gothic"/>
          <w:color w:val="12273F"/>
          <w:sz w:val="20"/>
          <w:szCs w:val="20"/>
        </w:rPr>
      </w:pPr>
      <w:r w:rsidRPr="005D3A75">
        <w:rPr>
          <w:rFonts w:ascii="Century Gothic" w:hAnsi="Century Gothic"/>
          <w:color w:val="12273F"/>
          <w:sz w:val="20"/>
          <w:szCs w:val="20"/>
        </w:rPr>
        <w:t>What is LIBOR?</w:t>
      </w:r>
    </w:p>
    <w:p w:rsidR="005D3A75" w:rsidRPr="005D3A75" w:rsidRDefault="005D3A75" w:rsidP="005D3A75">
      <w:pPr>
        <w:pStyle w:val="NormalWeb"/>
        <w:spacing w:before="0" w:beforeAutospacing="0" w:after="240" w:afterAutospacing="0"/>
        <w:rPr>
          <w:sz w:val="20"/>
          <w:szCs w:val="20"/>
        </w:rPr>
      </w:pPr>
      <w:r w:rsidRPr="005D3A75">
        <w:rPr>
          <w:sz w:val="20"/>
          <w:szCs w:val="20"/>
        </w:rPr>
        <w:t>LIBOR is an interest rate based on the rates at which banks lend to each other. LIBOR was one of the main interest rate benchmarks used in financial markets, but it is being phased out. Historically it has determined interest rates for financial contracts around the world, worth trillions of pounds.</w:t>
      </w:r>
    </w:p>
    <w:p w:rsidR="005D3A75" w:rsidRPr="005D3A75" w:rsidRDefault="005D3A75" w:rsidP="005D3A75">
      <w:pPr>
        <w:pStyle w:val="NormalWeb"/>
        <w:spacing w:before="0" w:beforeAutospacing="0" w:after="0" w:afterAutospacing="0"/>
        <w:rPr>
          <w:sz w:val="20"/>
          <w:szCs w:val="20"/>
        </w:rPr>
      </w:pPr>
      <w:r w:rsidRPr="005D3A75">
        <w:rPr>
          <w:sz w:val="20"/>
          <w:szCs w:val="20"/>
        </w:rPr>
        <w:t>LIBOR has been commonly referenced in both financial contracts, such as loans or deposit facilities, and non-financial contracts such as commercial leasing contracts and the discount rate for valuations.</w:t>
      </w:r>
    </w:p>
    <w:p w:rsidR="005D3A75" w:rsidRPr="005D3A75" w:rsidRDefault="005D3A75" w:rsidP="005D3A75">
      <w:pPr>
        <w:pStyle w:val="Heading2"/>
        <w:spacing w:before="0" w:beforeAutospacing="0" w:after="120" w:afterAutospacing="0"/>
        <w:rPr>
          <w:rFonts w:ascii="Century Gothic" w:hAnsi="Century Gothic"/>
          <w:color w:val="12273F"/>
          <w:sz w:val="20"/>
          <w:szCs w:val="20"/>
        </w:rPr>
      </w:pPr>
      <w:r w:rsidRPr="005D3A75">
        <w:rPr>
          <w:rFonts w:ascii="Century Gothic" w:hAnsi="Century Gothic"/>
          <w:color w:val="12273F"/>
          <w:sz w:val="20"/>
          <w:szCs w:val="20"/>
        </w:rPr>
        <w:t>Why do firms need to transition from LIBOR?</w:t>
      </w:r>
    </w:p>
    <w:p w:rsidR="005D3A75" w:rsidRPr="005D3A75" w:rsidRDefault="005D3A75" w:rsidP="005D3A75">
      <w:pPr>
        <w:pStyle w:val="NormalWeb"/>
        <w:spacing w:before="0" w:beforeAutospacing="0" w:after="240" w:afterAutospacing="0"/>
        <w:rPr>
          <w:sz w:val="20"/>
          <w:szCs w:val="20"/>
        </w:rPr>
      </w:pPr>
      <w:r w:rsidRPr="005D3A75">
        <w:rPr>
          <w:sz w:val="20"/>
          <w:szCs w:val="20"/>
        </w:rPr>
        <w:t>Since the global financial crisis in 2008-09, activity in the markets that LIBOR measures has reduced. The low volume of underlying transactions meant that LIBOR is no longer sustainable. There are other more robust rates, including the </w:t>
      </w:r>
      <w:hyperlink r:id="rId40" w:history="1">
        <w:r w:rsidRPr="005D3A75">
          <w:rPr>
            <w:rStyle w:val="Hyperlink"/>
            <w:b/>
            <w:bCs/>
            <w:color w:val="12273F"/>
            <w:sz w:val="20"/>
            <w:szCs w:val="20"/>
          </w:rPr>
          <w:t>Sterling Overnight Index Average (SONIA) benchmark</w:t>
        </w:r>
      </w:hyperlink>
      <w:r w:rsidRPr="005D3A75">
        <w:rPr>
          <w:sz w:val="20"/>
          <w:szCs w:val="20"/>
        </w:rPr>
        <w:t>, which the Bank of England produces.</w:t>
      </w:r>
    </w:p>
    <w:p w:rsidR="005D3A75" w:rsidRPr="005D3A75" w:rsidRDefault="005D3A75" w:rsidP="005D3A75">
      <w:pPr>
        <w:pStyle w:val="NormalWeb"/>
        <w:spacing w:before="0" w:beforeAutospacing="0" w:after="0" w:afterAutospacing="0"/>
        <w:rPr>
          <w:sz w:val="20"/>
          <w:szCs w:val="20"/>
        </w:rPr>
      </w:pPr>
      <w:bookmarkStart w:id="0" w:name="_GoBack"/>
      <w:bookmarkEnd w:id="0"/>
      <w:r w:rsidRPr="005D3A75">
        <w:rPr>
          <w:sz w:val="20"/>
          <w:szCs w:val="20"/>
        </w:rPr>
        <w:t>Financial Conduct Authority (FCA), publication of 24 of the 35 LIBOR settings ceased from 1 January 2022. Six sterling and yen LIBOR settings will continue for the duration of 2022 on a ‘synthetic’ basis. Five US dollar LIBOR settings will continue to be calculated using panel bank submissions until mid-2023, although its use for new business is restricted, with limited exceptions.</w:t>
      </w:r>
    </w:p>
    <w:p w:rsidR="005D3A75" w:rsidRPr="005D3A75" w:rsidRDefault="005D3A75" w:rsidP="005D3A75">
      <w:pPr>
        <w:pStyle w:val="Heading2"/>
        <w:spacing w:before="0" w:beforeAutospacing="0" w:after="120" w:afterAutospacing="0"/>
        <w:rPr>
          <w:rFonts w:ascii="Century Gothic" w:hAnsi="Century Gothic"/>
          <w:color w:val="12273F"/>
          <w:sz w:val="20"/>
          <w:szCs w:val="20"/>
        </w:rPr>
      </w:pPr>
      <w:r w:rsidRPr="005D3A75">
        <w:rPr>
          <w:rFonts w:ascii="Century Gothic" w:hAnsi="Century Gothic"/>
          <w:color w:val="12273F"/>
          <w:sz w:val="20"/>
          <w:szCs w:val="20"/>
        </w:rPr>
        <w:t>What does my firm need to do now?</w:t>
      </w:r>
    </w:p>
    <w:p w:rsidR="005D3A75" w:rsidRPr="005D3A75" w:rsidRDefault="005D3A75" w:rsidP="005D3A75">
      <w:pPr>
        <w:pStyle w:val="NormalWeb"/>
        <w:spacing w:before="0" w:beforeAutospacing="0" w:after="240" w:afterAutospacing="0"/>
        <w:rPr>
          <w:sz w:val="20"/>
          <w:szCs w:val="20"/>
        </w:rPr>
      </w:pPr>
      <w:r w:rsidRPr="005D3A75">
        <w:rPr>
          <w:sz w:val="20"/>
          <w:szCs w:val="20"/>
        </w:rPr>
        <w:t>It is important that your firm continues active transition to move its legacy sterling LIBOR contracts that currently reference temporary synthetic LIBOR to permanent robust alternative rates (such as SONIA). Find out more on next steps in LIBOR transition in this </w:t>
      </w:r>
      <w:hyperlink r:id="rId41" w:history="1">
        <w:r w:rsidRPr="005D3A75">
          <w:rPr>
            <w:rStyle w:val="Hyperlink"/>
            <w:b/>
            <w:bCs/>
            <w:color w:val="12273F"/>
            <w:sz w:val="20"/>
            <w:szCs w:val="20"/>
          </w:rPr>
          <w:t>joint statement between the Bank of England, Financial Conduct Authority, and the Working Group on Sterling Risk-Free Reference Rates</w:t>
        </w:r>
      </w:hyperlink>
      <w:r w:rsidRPr="005D3A75">
        <w:rPr>
          <w:sz w:val="20"/>
          <w:szCs w:val="20"/>
        </w:rPr>
        <w:t>.</w:t>
      </w:r>
    </w:p>
    <w:p w:rsidR="005D3A75" w:rsidRPr="005D3A75" w:rsidRDefault="005D3A75" w:rsidP="005D3A75">
      <w:pPr>
        <w:pStyle w:val="NormalWeb"/>
        <w:spacing w:before="0" w:beforeAutospacing="0" w:after="240" w:afterAutospacing="0"/>
        <w:rPr>
          <w:sz w:val="20"/>
          <w:szCs w:val="20"/>
        </w:rPr>
      </w:pPr>
      <w:r w:rsidRPr="005D3A75">
        <w:rPr>
          <w:sz w:val="20"/>
          <w:szCs w:val="20"/>
        </w:rPr>
        <w:t>Market participants continue to work with the Bank of England and Financial Conduct Authority to support transition of any remaining LIBOR-linked contracts.</w:t>
      </w:r>
    </w:p>
    <w:p w:rsidR="005D3A75" w:rsidRPr="005D3A75" w:rsidRDefault="005D3A75" w:rsidP="005D3A75">
      <w:pPr>
        <w:pStyle w:val="NormalWeb"/>
        <w:spacing w:before="0" w:beforeAutospacing="0" w:after="240" w:afterAutospacing="0"/>
        <w:rPr>
          <w:sz w:val="20"/>
          <w:szCs w:val="20"/>
        </w:rPr>
      </w:pPr>
      <w:r w:rsidRPr="005D3A75">
        <w:rPr>
          <w:sz w:val="20"/>
          <w:szCs w:val="20"/>
        </w:rPr>
        <w:t>The </w:t>
      </w:r>
      <w:hyperlink r:id="rId42" w:history="1">
        <w:r w:rsidRPr="005D3A75">
          <w:rPr>
            <w:rStyle w:val="Hyperlink"/>
            <w:b/>
            <w:bCs/>
            <w:color w:val="12273F"/>
            <w:sz w:val="20"/>
            <w:szCs w:val="20"/>
          </w:rPr>
          <w:t>Working Group on Sterling Risk-Free Reference Rates</w:t>
        </w:r>
      </w:hyperlink>
      <w:r w:rsidRPr="005D3A75">
        <w:rPr>
          <w:sz w:val="20"/>
          <w:szCs w:val="20"/>
        </w:rPr>
        <w:t> leads this work in UK markets, with support from the Bank of England and the Financial Conduct Authority.</w:t>
      </w:r>
    </w:p>
    <w:p w:rsidR="006256FF" w:rsidRDefault="006256FF"/>
    <w:sectPr w:rsidR="006256FF" w:rsidSect="008C1A32">
      <w:headerReference w:type="default" r:id="rId4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A75" w:rsidRDefault="005D3A75" w:rsidP="005D3A75">
      <w:pPr>
        <w:spacing w:after="0" w:line="240" w:lineRule="auto"/>
      </w:pPr>
      <w:r>
        <w:separator/>
      </w:r>
    </w:p>
  </w:endnote>
  <w:endnote w:type="continuationSeparator" w:id="0">
    <w:p w:rsidR="005D3A75" w:rsidRDefault="005D3A75" w:rsidP="005D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A75" w:rsidRDefault="005D3A75" w:rsidP="005D3A75">
      <w:pPr>
        <w:spacing w:after="0" w:line="240" w:lineRule="auto"/>
      </w:pPr>
      <w:r>
        <w:separator/>
      </w:r>
    </w:p>
  </w:footnote>
  <w:footnote w:type="continuationSeparator" w:id="0">
    <w:p w:rsidR="005D3A75" w:rsidRDefault="005D3A75" w:rsidP="005D3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75" w:rsidRPr="005D3A75" w:rsidRDefault="005D3A75" w:rsidP="005D3A75">
    <w:pPr>
      <w:pStyle w:val="Header"/>
      <w:jc w:val="center"/>
      <w:rPr>
        <w:rFonts w:ascii="Arial Black" w:hAnsi="Arial Black"/>
        <w:sz w:val="16"/>
        <w:szCs w:val="16"/>
      </w:rPr>
    </w:pPr>
    <w:r w:rsidRPr="005D3A75">
      <w:rPr>
        <w:rFonts w:ascii="Arial Black" w:hAnsi="Arial Black"/>
        <w:sz w:val="16"/>
        <w:szCs w:val="16"/>
      </w:rPr>
      <w:t>Libor Transition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0DF"/>
    <w:multiLevelType w:val="multilevel"/>
    <w:tmpl w:val="E978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32"/>
    <w:rsid w:val="004D44E1"/>
    <w:rsid w:val="005D3A75"/>
    <w:rsid w:val="006256FF"/>
    <w:rsid w:val="008C1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6B0C"/>
  <w15:chartTrackingRefBased/>
  <w15:docId w15:val="{FD62F927-BBCC-4F25-98CE-46BD572E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1A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C1A3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C1A3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A3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C1A3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C1A32"/>
    <w:rPr>
      <w:rFonts w:ascii="Times New Roman" w:eastAsia="Times New Roman" w:hAnsi="Times New Roman" w:cs="Times New Roman"/>
      <w:b/>
      <w:bCs/>
      <w:sz w:val="27"/>
      <w:szCs w:val="27"/>
      <w:lang w:eastAsia="en-GB"/>
    </w:rPr>
  </w:style>
  <w:style w:type="character" w:customStyle="1" w:styleId="hero">
    <w:name w:val="hero"/>
    <w:basedOn w:val="DefaultParagraphFont"/>
    <w:rsid w:val="008C1A32"/>
  </w:style>
  <w:style w:type="paragraph" w:customStyle="1" w:styleId="stat-caption">
    <w:name w:val="stat-caption"/>
    <w:basedOn w:val="Normal"/>
    <w:rsid w:val="008C1A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C1A32"/>
    <w:rPr>
      <w:color w:val="0000FF"/>
      <w:u w:val="single"/>
    </w:rPr>
  </w:style>
  <w:style w:type="paragraph" w:styleId="NormalWeb">
    <w:name w:val="Normal (Web)"/>
    <w:basedOn w:val="Normal"/>
    <w:uiPriority w:val="99"/>
    <w:semiHidden/>
    <w:unhideWhenUsed/>
    <w:rsid w:val="008C1A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isually-hidden">
    <w:name w:val="visually-hidden"/>
    <w:basedOn w:val="DefaultParagraphFont"/>
    <w:rsid w:val="008C1A32"/>
  </w:style>
  <w:style w:type="paragraph" w:styleId="Header">
    <w:name w:val="header"/>
    <w:basedOn w:val="Normal"/>
    <w:link w:val="HeaderChar"/>
    <w:uiPriority w:val="99"/>
    <w:unhideWhenUsed/>
    <w:rsid w:val="005D3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75"/>
  </w:style>
  <w:style w:type="paragraph" w:styleId="Footer">
    <w:name w:val="footer"/>
    <w:basedOn w:val="Normal"/>
    <w:link w:val="FooterChar"/>
    <w:uiPriority w:val="99"/>
    <w:unhideWhenUsed/>
    <w:rsid w:val="005D3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75"/>
  </w:style>
  <w:style w:type="paragraph" w:styleId="BalloonText">
    <w:name w:val="Balloon Text"/>
    <w:basedOn w:val="Normal"/>
    <w:link w:val="BalloonTextChar"/>
    <w:uiPriority w:val="99"/>
    <w:semiHidden/>
    <w:unhideWhenUsed/>
    <w:rsid w:val="005D3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A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3904">
      <w:bodyDiv w:val="1"/>
      <w:marLeft w:val="0"/>
      <w:marRight w:val="0"/>
      <w:marTop w:val="0"/>
      <w:marBottom w:val="0"/>
      <w:divBdr>
        <w:top w:val="none" w:sz="0" w:space="0" w:color="auto"/>
        <w:left w:val="none" w:sz="0" w:space="0" w:color="auto"/>
        <w:bottom w:val="none" w:sz="0" w:space="0" w:color="auto"/>
        <w:right w:val="none" w:sz="0" w:space="0" w:color="auto"/>
      </w:divBdr>
      <w:divsChild>
        <w:div w:id="750202679">
          <w:marLeft w:val="0"/>
          <w:marRight w:val="0"/>
          <w:marTop w:val="0"/>
          <w:marBottom w:val="0"/>
          <w:divBdr>
            <w:top w:val="none" w:sz="0" w:space="0" w:color="auto"/>
            <w:left w:val="none" w:sz="0" w:space="0" w:color="auto"/>
            <w:bottom w:val="none" w:sz="0" w:space="0" w:color="auto"/>
            <w:right w:val="none" w:sz="0" w:space="0" w:color="auto"/>
          </w:divBdr>
          <w:divsChild>
            <w:div w:id="1977252260">
              <w:marLeft w:val="0"/>
              <w:marRight w:val="0"/>
              <w:marTop w:val="0"/>
              <w:marBottom w:val="0"/>
              <w:divBdr>
                <w:top w:val="none" w:sz="0" w:space="0" w:color="auto"/>
                <w:left w:val="none" w:sz="0" w:space="0" w:color="auto"/>
                <w:bottom w:val="none" w:sz="0" w:space="0" w:color="auto"/>
                <w:right w:val="none" w:sz="0" w:space="0" w:color="auto"/>
              </w:divBdr>
              <w:divsChild>
                <w:div w:id="4275824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98242846">
          <w:marLeft w:val="0"/>
          <w:marRight w:val="0"/>
          <w:marTop w:val="0"/>
          <w:marBottom w:val="0"/>
          <w:divBdr>
            <w:top w:val="none" w:sz="0" w:space="0" w:color="auto"/>
            <w:left w:val="none" w:sz="0" w:space="0" w:color="auto"/>
            <w:bottom w:val="none" w:sz="0" w:space="0" w:color="auto"/>
            <w:right w:val="none" w:sz="0" w:space="0" w:color="auto"/>
          </w:divBdr>
          <w:divsChild>
            <w:div w:id="1117019791">
              <w:marLeft w:val="0"/>
              <w:marRight w:val="0"/>
              <w:marTop w:val="0"/>
              <w:marBottom w:val="0"/>
              <w:divBdr>
                <w:top w:val="none" w:sz="0" w:space="0" w:color="auto"/>
                <w:left w:val="none" w:sz="0" w:space="0" w:color="auto"/>
                <w:bottom w:val="none" w:sz="0" w:space="0" w:color="auto"/>
                <w:right w:val="none" w:sz="0" w:space="0" w:color="auto"/>
              </w:divBdr>
              <w:divsChild>
                <w:div w:id="720636266">
                  <w:marLeft w:val="150"/>
                  <w:marRight w:val="150"/>
                  <w:marTop w:val="0"/>
                  <w:marBottom w:val="0"/>
                  <w:divBdr>
                    <w:top w:val="none" w:sz="0" w:space="0" w:color="auto"/>
                    <w:left w:val="none" w:sz="0" w:space="0" w:color="auto"/>
                    <w:bottom w:val="none" w:sz="0" w:space="0" w:color="auto"/>
                    <w:right w:val="none" w:sz="0" w:space="0" w:color="auto"/>
                  </w:divBdr>
                  <w:divsChild>
                    <w:div w:id="14795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08328">
          <w:marLeft w:val="0"/>
          <w:marRight w:val="0"/>
          <w:marTop w:val="0"/>
          <w:marBottom w:val="0"/>
          <w:divBdr>
            <w:top w:val="none" w:sz="0" w:space="0" w:color="auto"/>
            <w:left w:val="none" w:sz="0" w:space="0" w:color="auto"/>
            <w:bottom w:val="none" w:sz="0" w:space="0" w:color="auto"/>
            <w:right w:val="none" w:sz="0" w:space="0" w:color="auto"/>
          </w:divBdr>
          <w:divsChild>
            <w:div w:id="280919759">
              <w:marLeft w:val="150"/>
              <w:marRight w:val="150"/>
              <w:marTop w:val="0"/>
              <w:marBottom w:val="0"/>
              <w:divBdr>
                <w:top w:val="none" w:sz="0" w:space="0" w:color="auto"/>
                <w:left w:val="none" w:sz="0" w:space="0" w:color="auto"/>
                <w:bottom w:val="none" w:sz="0" w:space="0" w:color="auto"/>
                <w:right w:val="none" w:sz="0" w:space="0" w:color="auto"/>
              </w:divBdr>
              <w:divsChild>
                <w:div w:id="910627085">
                  <w:marLeft w:val="0"/>
                  <w:marRight w:val="0"/>
                  <w:marTop w:val="0"/>
                  <w:marBottom w:val="600"/>
                  <w:divBdr>
                    <w:top w:val="none" w:sz="0" w:space="0" w:color="auto"/>
                    <w:left w:val="none" w:sz="0" w:space="0" w:color="auto"/>
                    <w:bottom w:val="none" w:sz="0" w:space="0" w:color="auto"/>
                    <w:right w:val="none" w:sz="0" w:space="0" w:color="auto"/>
                  </w:divBdr>
                </w:div>
                <w:div w:id="2077582510">
                  <w:marLeft w:val="0"/>
                  <w:marRight w:val="0"/>
                  <w:marTop w:val="0"/>
                  <w:marBottom w:val="0"/>
                  <w:divBdr>
                    <w:top w:val="none" w:sz="0" w:space="0" w:color="auto"/>
                    <w:left w:val="none" w:sz="0" w:space="0" w:color="auto"/>
                    <w:bottom w:val="none" w:sz="0" w:space="0" w:color="auto"/>
                    <w:right w:val="none" w:sz="0" w:space="0" w:color="auto"/>
                  </w:divBdr>
                  <w:divsChild>
                    <w:div w:id="1860854417">
                      <w:marLeft w:val="0"/>
                      <w:marRight w:val="0"/>
                      <w:marTop w:val="0"/>
                      <w:marBottom w:val="0"/>
                      <w:divBdr>
                        <w:top w:val="none" w:sz="0" w:space="0" w:color="auto"/>
                        <w:left w:val="none" w:sz="0" w:space="0" w:color="auto"/>
                        <w:bottom w:val="none" w:sz="0" w:space="0" w:color="auto"/>
                        <w:right w:val="none" w:sz="0" w:space="0" w:color="auto"/>
                      </w:divBdr>
                      <w:divsChild>
                        <w:div w:id="10185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11601">
          <w:marLeft w:val="0"/>
          <w:marRight w:val="0"/>
          <w:marTop w:val="0"/>
          <w:marBottom w:val="0"/>
          <w:divBdr>
            <w:top w:val="none" w:sz="0" w:space="0" w:color="auto"/>
            <w:left w:val="none" w:sz="0" w:space="0" w:color="auto"/>
            <w:bottom w:val="none" w:sz="0" w:space="0" w:color="auto"/>
            <w:right w:val="none" w:sz="0" w:space="0" w:color="auto"/>
          </w:divBdr>
          <w:divsChild>
            <w:div w:id="1606812935">
              <w:marLeft w:val="150"/>
              <w:marRight w:val="150"/>
              <w:marTop w:val="0"/>
              <w:marBottom w:val="0"/>
              <w:divBdr>
                <w:top w:val="none" w:sz="0" w:space="0" w:color="auto"/>
                <w:left w:val="none" w:sz="0" w:space="0" w:color="auto"/>
                <w:bottom w:val="none" w:sz="0" w:space="0" w:color="auto"/>
                <w:right w:val="none" w:sz="0" w:space="0" w:color="auto"/>
              </w:divBdr>
              <w:divsChild>
                <w:div w:id="21211475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22374383">
          <w:marLeft w:val="0"/>
          <w:marRight w:val="0"/>
          <w:marTop w:val="0"/>
          <w:marBottom w:val="0"/>
          <w:divBdr>
            <w:top w:val="none" w:sz="0" w:space="0" w:color="auto"/>
            <w:left w:val="none" w:sz="0" w:space="0" w:color="auto"/>
            <w:bottom w:val="none" w:sz="0" w:space="0" w:color="auto"/>
            <w:right w:val="none" w:sz="0" w:space="0" w:color="auto"/>
          </w:divBdr>
          <w:divsChild>
            <w:div w:id="986665319">
              <w:marLeft w:val="150"/>
              <w:marRight w:val="150"/>
              <w:marTop w:val="0"/>
              <w:marBottom w:val="0"/>
              <w:divBdr>
                <w:top w:val="none" w:sz="0" w:space="0" w:color="auto"/>
                <w:left w:val="none" w:sz="0" w:space="0" w:color="auto"/>
                <w:bottom w:val="none" w:sz="0" w:space="0" w:color="auto"/>
                <w:right w:val="none" w:sz="0" w:space="0" w:color="auto"/>
              </w:divBdr>
              <w:divsChild>
                <w:div w:id="20253778">
                  <w:marLeft w:val="0"/>
                  <w:marRight w:val="0"/>
                  <w:marTop w:val="0"/>
                  <w:marBottom w:val="0"/>
                  <w:divBdr>
                    <w:top w:val="none" w:sz="0" w:space="0" w:color="auto"/>
                    <w:left w:val="none" w:sz="0" w:space="0" w:color="auto"/>
                    <w:bottom w:val="none" w:sz="0" w:space="0" w:color="auto"/>
                    <w:right w:val="none" w:sz="0" w:space="0" w:color="auto"/>
                  </w:divBdr>
                  <w:divsChild>
                    <w:div w:id="10573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946584">
          <w:marLeft w:val="0"/>
          <w:marRight w:val="0"/>
          <w:marTop w:val="0"/>
          <w:marBottom w:val="0"/>
          <w:divBdr>
            <w:top w:val="none" w:sz="0" w:space="0" w:color="auto"/>
            <w:left w:val="none" w:sz="0" w:space="0" w:color="auto"/>
            <w:bottom w:val="none" w:sz="0" w:space="0" w:color="auto"/>
            <w:right w:val="none" w:sz="0" w:space="0" w:color="auto"/>
          </w:divBdr>
          <w:divsChild>
            <w:div w:id="1183010629">
              <w:marLeft w:val="150"/>
              <w:marRight w:val="150"/>
              <w:marTop w:val="0"/>
              <w:marBottom w:val="0"/>
              <w:divBdr>
                <w:top w:val="none" w:sz="0" w:space="0" w:color="auto"/>
                <w:left w:val="none" w:sz="0" w:space="0" w:color="auto"/>
                <w:bottom w:val="none" w:sz="0" w:space="0" w:color="auto"/>
                <w:right w:val="none" w:sz="0" w:space="0" w:color="auto"/>
              </w:divBdr>
              <w:divsChild>
                <w:div w:id="1974406590">
                  <w:marLeft w:val="0"/>
                  <w:marRight w:val="0"/>
                  <w:marTop w:val="0"/>
                  <w:marBottom w:val="0"/>
                  <w:divBdr>
                    <w:top w:val="none" w:sz="0" w:space="0" w:color="auto"/>
                    <w:left w:val="none" w:sz="0" w:space="0" w:color="auto"/>
                    <w:bottom w:val="none" w:sz="0" w:space="0" w:color="auto"/>
                    <w:right w:val="none" w:sz="0" w:space="0" w:color="auto"/>
                  </w:divBdr>
                  <w:divsChild>
                    <w:div w:id="1530606308">
                      <w:marLeft w:val="0"/>
                      <w:marRight w:val="0"/>
                      <w:marTop w:val="0"/>
                      <w:marBottom w:val="0"/>
                      <w:divBdr>
                        <w:top w:val="none" w:sz="0" w:space="0" w:color="auto"/>
                        <w:left w:val="none" w:sz="0" w:space="0" w:color="auto"/>
                        <w:bottom w:val="none" w:sz="0" w:space="0" w:color="auto"/>
                        <w:right w:val="none" w:sz="0" w:space="0" w:color="auto"/>
                      </w:divBdr>
                    </w:div>
                  </w:divsChild>
                </w:div>
                <w:div w:id="817652595">
                  <w:marLeft w:val="0"/>
                  <w:marRight w:val="0"/>
                  <w:marTop w:val="0"/>
                  <w:marBottom w:val="0"/>
                  <w:divBdr>
                    <w:top w:val="none" w:sz="0" w:space="0" w:color="auto"/>
                    <w:left w:val="none" w:sz="0" w:space="0" w:color="auto"/>
                    <w:bottom w:val="none" w:sz="0" w:space="0" w:color="auto"/>
                    <w:right w:val="none" w:sz="0" w:space="0" w:color="auto"/>
                  </w:divBdr>
                  <w:divsChild>
                    <w:div w:id="435560114">
                      <w:marLeft w:val="0"/>
                      <w:marRight w:val="0"/>
                      <w:marTop w:val="0"/>
                      <w:marBottom w:val="600"/>
                      <w:divBdr>
                        <w:top w:val="none" w:sz="0" w:space="0" w:color="auto"/>
                        <w:left w:val="none" w:sz="0" w:space="0" w:color="auto"/>
                        <w:bottom w:val="none" w:sz="0" w:space="0" w:color="auto"/>
                        <w:right w:val="none" w:sz="0" w:space="0" w:color="auto"/>
                      </w:divBdr>
                      <w:divsChild>
                        <w:div w:id="1699231812">
                          <w:marLeft w:val="0"/>
                          <w:marRight w:val="0"/>
                          <w:marTop w:val="0"/>
                          <w:marBottom w:val="450"/>
                          <w:divBdr>
                            <w:top w:val="none" w:sz="0" w:space="0" w:color="auto"/>
                            <w:left w:val="none" w:sz="0" w:space="0" w:color="auto"/>
                            <w:bottom w:val="none" w:sz="0" w:space="0" w:color="auto"/>
                            <w:right w:val="none" w:sz="0" w:space="0" w:color="auto"/>
                          </w:divBdr>
                          <w:divsChild>
                            <w:div w:id="896672376">
                              <w:marLeft w:val="0"/>
                              <w:marRight w:val="0"/>
                              <w:marTop w:val="0"/>
                              <w:marBottom w:val="0"/>
                              <w:divBdr>
                                <w:top w:val="none" w:sz="0" w:space="0" w:color="auto"/>
                                <w:left w:val="none" w:sz="0" w:space="0" w:color="auto"/>
                                <w:bottom w:val="none" w:sz="0" w:space="0" w:color="auto"/>
                                <w:right w:val="none" w:sz="0" w:space="0" w:color="auto"/>
                              </w:divBdr>
                            </w:div>
                          </w:divsChild>
                        </w:div>
                        <w:div w:id="1043482306">
                          <w:marLeft w:val="0"/>
                          <w:marRight w:val="0"/>
                          <w:marTop w:val="0"/>
                          <w:marBottom w:val="450"/>
                          <w:divBdr>
                            <w:top w:val="none" w:sz="0" w:space="0" w:color="auto"/>
                            <w:left w:val="none" w:sz="0" w:space="0" w:color="auto"/>
                            <w:bottom w:val="none" w:sz="0" w:space="0" w:color="auto"/>
                            <w:right w:val="none" w:sz="0" w:space="0" w:color="auto"/>
                          </w:divBdr>
                          <w:divsChild>
                            <w:div w:id="278684801">
                              <w:marLeft w:val="0"/>
                              <w:marRight w:val="0"/>
                              <w:marTop w:val="0"/>
                              <w:marBottom w:val="0"/>
                              <w:divBdr>
                                <w:top w:val="none" w:sz="0" w:space="0" w:color="auto"/>
                                <w:left w:val="none" w:sz="0" w:space="0" w:color="auto"/>
                                <w:bottom w:val="none" w:sz="0" w:space="0" w:color="auto"/>
                                <w:right w:val="none" w:sz="0" w:space="0" w:color="auto"/>
                              </w:divBdr>
                            </w:div>
                          </w:divsChild>
                        </w:div>
                        <w:div w:id="1491600885">
                          <w:marLeft w:val="0"/>
                          <w:marRight w:val="0"/>
                          <w:marTop w:val="0"/>
                          <w:marBottom w:val="450"/>
                          <w:divBdr>
                            <w:top w:val="none" w:sz="0" w:space="0" w:color="auto"/>
                            <w:left w:val="none" w:sz="0" w:space="0" w:color="auto"/>
                            <w:bottom w:val="none" w:sz="0" w:space="0" w:color="auto"/>
                            <w:right w:val="none" w:sz="0" w:space="0" w:color="auto"/>
                          </w:divBdr>
                          <w:divsChild>
                            <w:div w:id="262957186">
                              <w:marLeft w:val="0"/>
                              <w:marRight w:val="0"/>
                              <w:marTop w:val="0"/>
                              <w:marBottom w:val="0"/>
                              <w:divBdr>
                                <w:top w:val="none" w:sz="0" w:space="0" w:color="auto"/>
                                <w:left w:val="none" w:sz="0" w:space="0" w:color="auto"/>
                                <w:bottom w:val="none" w:sz="0" w:space="0" w:color="auto"/>
                                <w:right w:val="none" w:sz="0" w:space="0" w:color="auto"/>
                              </w:divBdr>
                            </w:div>
                          </w:divsChild>
                        </w:div>
                        <w:div w:id="900747322">
                          <w:marLeft w:val="0"/>
                          <w:marRight w:val="0"/>
                          <w:marTop w:val="0"/>
                          <w:marBottom w:val="450"/>
                          <w:divBdr>
                            <w:top w:val="none" w:sz="0" w:space="0" w:color="auto"/>
                            <w:left w:val="none" w:sz="0" w:space="0" w:color="auto"/>
                            <w:bottom w:val="none" w:sz="0" w:space="0" w:color="auto"/>
                            <w:right w:val="none" w:sz="0" w:space="0" w:color="auto"/>
                          </w:divBdr>
                          <w:divsChild>
                            <w:div w:id="111096170">
                              <w:marLeft w:val="0"/>
                              <w:marRight w:val="0"/>
                              <w:marTop w:val="0"/>
                              <w:marBottom w:val="0"/>
                              <w:divBdr>
                                <w:top w:val="none" w:sz="0" w:space="0" w:color="auto"/>
                                <w:left w:val="none" w:sz="0" w:space="0" w:color="auto"/>
                                <w:bottom w:val="none" w:sz="0" w:space="0" w:color="auto"/>
                                <w:right w:val="none" w:sz="0" w:space="0" w:color="auto"/>
                              </w:divBdr>
                            </w:div>
                          </w:divsChild>
                        </w:div>
                        <w:div w:id="252520067">
                          <w:marLeft w:val="0"/>
                          <w:marRight w:val="0"/>
                          <w:marTop w:val="0"/>
                          <w:marBottom w:val="450"/>
                          <w:divBdr>
                            <w:top w:val="none" w:sz="0" w:space="0" w:color="auto"/>
                            <w:left w:val="none" w:sz="0" w:space="0" w:color="auto"/>
                            <w:bottom w:val="none" w:sz="0" w:space="0" w:color="auto"/>
                            <w:right w:val="none" w:sz="0" w:space="0" w:color="auto"/>
                          </w:divBdr>
                          <w:divsChild>
                            <w:div w:id="1349409799">
                              <w:marLeft w:val="0"/>
                              <w:marRight w:val="0"/>
                              <w:marTop w:val="0"/>
                              <w:marBottom w:val="0"/>
                              <w:divBdr>
                                <w:top w:val="none" w:sz="0" w:space="0" w:color="auto"/>
                                <w:left w:val="none" w:sz="0" w:space="0" w:color="auto"/>
                                <w:bottom w:val="none" w:sz="0" w:space="0" w:color="auto"/>
                                <w:right w:val="none" w:sz="0" w:space="0" w:color="auto"/>
                              </w:divBdr>
                            </w:div>
                          </w:divsChild>
                        </w:div>
                        <w:div w:id="981885839">
                          <w:marLeft w:val="0"/>
                          <w:marRight w:val="0"/>
                          <w:marTop w:val="0"/>
                          <w:marBottom w:val="450"/>
                          <w:divBdr>
                            <w:top w:val="none" w:sz="0" w:space="0" w:color="auto"/>
                            <w:left w:val="none" w:sz="0" w:space="0" w:color="auto"/>
                            <w:bottom w:val="none" w:sz="0" w:space="0" w:color="auto"/>
                            <w:right w:val="none" w:sz="0" w:space="0" w:color="auto"/>
                          </w:divBdr>
                          <w:divsChild>
                            <w:div w:id="16080594">
                              <w:marLeft w:val="0"/>
                              <w:marRight w:val="0"/>
                              <w:marTop w:val="0"/>
                              <w:marBottom w:val="0"/>
                              <w:divBdr>
                                <w:top w:val="none" w:sz="0" w:space="0" w:color="auto"/>
                                <w:left w:val="none" w:sz="0" w:space="0" w:color="auto"/>
                                <w:bottom w:val="none" w:sz="0" w:space="0" w:color="auto"/>
                                <w:right w:val="none" w:sz="0" w:space="0" w:color="auto"/>
                              </w:divBdr>
                            </w:div>
                          </w:divsChild>
                        </w:div>
                        <w:div w:id="1115370042">
                          <w:marLeft w:val="0"/>
                          <w:marRight w:val="0"/>
                          <w:marTop w:val="0"/>
                          <w:marBottom w:val="450"/>
                          <w:divBdr>
                            <w:top w:val="none" w:sz="0" w:space="0" w:color="auto"/>
                            <w:left w:val="none" w:sz="0" w:space="0" w:color="auto"/>
                            <w:bottom w:val="none" w:sz="0" w:space="0" w:color="auto"/>
                            <w:right w:val="none" w:sz="0" w:space="0" w:color="auto"/>
                          </w:divBdr>
                          <w:divsChild>
                            <w:div w:id="102386194">
                              <w:marLeft w:val="0"/>
                              <w:marRight w:val="0"/>
                              <w:marTop w:val="0"/>
                              <w:marBottom w:val="0"/>
                              <w:divBdr>
                                <w:top w:val="none" w:sz="0" w:space="0" w:color="auto"/>
                                <w:left w:val="none" w:sz="0" w:space="0" w:color="auto"/>
                                <w:bottom w:val="none" w:sz="0" w:space="0" w:color="auto"/>
                                <w:right w:val="none" w:sz="0" w:space="0" w:color="auto"/>
                              </w:divBdr>
                            </w:div>
                          </w:divsChild>
                        </w:div>
                        <w:div w:id="1449467829">
                          <w:marLeft w:val="0"/>
                          <w:marRight w:val="0"/>
                          <w:marTop w:val="0"/>
                          <w:marBottom w:val="450"/>
                          <w:divBdr>
                            <w:top w:val="none" w:sz="0" w:space="0" w:color="auto"/>
                            <w:left w:val="none" w:sz="0" w:space="0" w:color="auto"/>
                            <w:bottom w:val="none" w:sz="0" w:space="0" w:color="auto"/>
                            <w:right w:val="none" w:sz="0" w:space="0" w:color="auto"/>
                          </w:divBdr>
                          <w:divsChild>
                            <w:div w:id="1648826986">
                              <w:marLeft w:val="0"/>
                              <w:marRight w:val="0"/>
                              <w:marTop w:val="0"/>
                              <w:marBottom w:val="0"/>
                              <w:divBdr>
                                <w:top w:val="none" w:sz="0" w:space="0" w:color="auto"/>
                                <w:left w:val="none" w:sz="0" w:space="0" w:color="auto"/>
                                <w:bottom w:val="none" w:sz="0" w:space="0" w:color="auto"/>
                                <w:right w:val="none" w:sz="0" w:space="0" w:color="auto"/>
                              </w:divBdr>
                            </w:div>
                          </w:divsChild>
                        </w:div>
                        <w:div w:id="358170402">
                          <w:marLeft w:val="0"/>
                          <w:marRight w:val="0"/>
                          <w:marTop w:val="0"/>
                          <w:marBottom w:val="450"/>
                          <w:divBdr>
                            <w:top w:val="none" w:sz="0" w:space="0" w:color="auto"/>
                            <w:left w:val="none" w:sz="0" w:space="0" w:color="auto"/>
                            <w:bottom w:val="none" w:sz="0" w:space="0" w:color="auto"/>
                            <w:right w:val="none" w:sz="0" w:space="0" w:color="auto"/>
                          </w:divBdr>
                          <w:divsChild>
                            <w:div w:id="1122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228153">
      <w:bodyDiv w:val="1"/>
      <w:marLeft w:val="0"/>
      <w:marRight w:val="0"/>
      <w:marTop w:val="0"/>
      <w:marBottom w:val="0"/>
      <w:divBdr>
        <w:top w:val="none" w:sz="0" w:space="0" w:color="auto"/>
        <w:left w:val="none" w:sz="0" w:space="0" w:color="auto"/>
        <w:bottom w:val="none" w:sz="0" w:space="0" w:color="auto"/>
        <w:right w:val="none" w:sz="0" w:space="0" w:color="auto"/>
      </w:divBdr>
      <w:divsChild>
        <w:div w:id="1797677157">
          <w:marLeft w:val="0"/>
          <w:marRight w:val="0"/>
          <w:marTop w:val="0"/>
          <w:marBottom w:val="0"/>
          <w:divBdr>
            <w:top w:val="none" w:sz="0" w:space="0" w:color="auto"/>
            <w:left w:val="none" w:sz="0" w:space="0" w:color="auto"/>
            <w:bottom w:val="none" w:sz="0" w:space="0" w:color="auto"/>
            <w:right w:val="none" w:sz="0" w:space="0" w:color="auto"/>
          </w:divBdr>
          <w:divsChild>
            <w:div w:id="443116628">
              <w:marLeft w:val="150"/>
              <w:marRight w:val="150"/>
              <w:marTop w:val="0"/>
              <w:marBottom w:val="0"/>
              <w:divBdr>
                <w:top w:val="none" w:sz="0" w:space="0" w:color="auto"/>
                <w:left w:val="none" w:sz="0" w:space="0" w:color="auto"/>
                <w:bottom w:val="none" w:sz="0" w:space="0" w:color="auto"/>
                <w:right w:val="none" w:sz="0" w:space="0" w:color="auto"/>
              </w:divBdr>
              <w:divsChild>
                <w:div w:id="687215755">
                  <w:marLeft w:val="0"/>
                  <w:marRight w:val="0"/>
                  <w:marTop w:val="0"/>
                  <w:marBottom w:val="0"/>
                  <w:divBdr>
                    <w:top w:val="none" w:sz="0" w:space="0" w:color="auto"/>
                    <w:left w:val="none" w:sz="0" w:space="0" w:color="auto"/>
                    <w:bottom w:val="none" w:sz="0" w:space="0" w:color="auto"/>
                    <w:right w:val="none" w:sz="0" w:space="0" w:color="auto"/>
                  </w:divBdr>
                  <w:divsChild>
                    <w:div w:id="1572043035">
                      <w:marLeft w:val="0"/>
                      <w:marRight w:val="0"/>
                      <w:marTop w:val="0"/>
                      <w:marBottom w:val="0"/>
                      <w:divBdr>
                        <w:top w:val="none" w:sz="0" w:space="0" w:color="auto"/>
                        <w:left w:val="none" w:sz="0" w:space="0" w:color="auto"/>
                        <w:bottom w:val="none" w:sz="0" w:space="0" w:color="auto"/>
                        <w:right w:val="none" w:sz="0" w:space="0" w:color="auto"/>
                      </w:divBdr>
                      <w:divsChild>
                        <w:div w:id="799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68615">
          <w:marLeft w:val="0"/>
          <w:marRight w:val="0"/>
          <w:marTop w:val="0"/>
          <w:marBottom w:val="0"/>
          <w:divBdr>
            <w:top w:val="none" w:sz="0" w:space="0" w:color="auto"/>
            <w:left w:val="none" w:sz="0" w:space="0" w:color="auto"/>
            <w:bottom w:val="none" w:sz="0" w:space="0" w:color="auto"/>
            <w:right w:val="none" w:sz="0" w:space="0" w:color="auto"/>
          </w:divBdr>
          <w:divsChild>
            <w:div w:id="1833644764">
              <w:marLeft w:val="150"/>
              <w:marRight w:val="150"/>
              <w:marTop w:val="0"/>
              <w:marBottom w:val="0"/>
              <w:divBdr>
                <w:top w:val="none" w:sz="0" w:space="0" w:color="auto"/>
                <w:left w:val="none" w:sz="0" w:space="0" w:color="auto"/>
                <w:bottom w:val="none" w:sz="0" w:space="0" w:color="auto"/>
                <w:right w:val="none" w:sz="0" w:space="0" w:color="auto"/>
              </w:divBdr>
              <w:divsChild>
                <w:div w:id="511799974">
                  <w:marLeft w:val="0"/>
                  <w:marRight w:val="0"/>
                  <w:marTop w:val="0"/>
                  <w:marBottom w:val="0"/>
                  <w:divBdr>
                    <w:top w:val="none" w:sz="0" w:space="0" w:color="auto"/>
                    <w:left w:val="none" w:sz="0" w:space="0" w:color="auto"/>
                    <w:bottom w:val="none" w:sz="0" w:space="0" w:color="auto"/>
                    <w:right w:val="none" w:sz="0" w:space="0" w:color="auto"/>
                  </w:divBdr>
                  <w:divsChild>
                    <w:div w:id="8304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3741">
          <w:marLeft w:val="0"/>
          <w:marRight w:val="0"/>
          <w:marTop w:val="0"/>
          <w:marBottom w:val="0"/>
          <w:divBdr>
            <w:top w:val="none" w:sz="0" w:space="0" w:color="auto"/>
            <w:left w:val="none" w:sz="0" w:space="0" w:color="auto"/>
            <w:bottom w:val="none" w:sz="0" w:space="0" w:color="auto"/>
            <w:right w:val="none" w:sz="0" w:space="0" w:color="auto"/>
          </w:divBdr>
          <w:divsChild>
            <w:div w:id="1095052779">
              <w:marLeft w:val="150"/>
              <w:marRight w:val="150"/>
              <w:marTop w:val="0"/>
              <w:marBottom w:val="0"/>
              <w:divBdr>
                <w:top w:val="none" w:sz="0" w:space="0" w:color="auto"/>
                <w:left w:val="none" w:sz="0" w:space="0" w:color="auto"/>
                <w:bottom w:val="none" w:sz="0" w:space="0" w:color="auto"/>
                <w:right w:val="none" w:sz="0" w:space="0" w:color="auto"/>
              </w:divBdr>
              <w:divsChild>
                <w:div w:id="437721556">
                  <w:marLeft w:val="0"/>
                  <w:marRight w:val="0"/>
                  <w:marTop w:val="0"/>
                  <w:marBottom w:val="0"/>
                  <w:divBdr>
                    <w:top w:val="none" w:sz="0" w:space="0" w:color="auto"/>
                    <w:left w:val="none" w:sz="0" w:space="0" w:color="auto"/>
                    <w:bottom w:val="none" w:sz="0" w:space="0" w:color="auto"/>
                    <w:right w:val="none" w:sz="0" w:space="0" w:color="auto"/>
                  </w:divBdr>
                  <w:divsChild>
                    <w:div w:id="1258096658">
                      <w:marLeft w:val="0"/>
                      <w:marRight w:val="0"/>
                      <w:marTop w:val="0"/>
                      <w:marBottom w:val="0"/>
                      <w:divBdr>
                        <w:top w:val="none" w:sz="0" w:space="0" w:color="auto"/>
                        <w:left w:val="none" w:sz="0" w:space="0" w:color="auto"/>
                        <w:bottom w:val="none" w:sz="0" w:space="0" w:color="auto"/>
                        <w:right w:val="none" w:sz="0" w:space="0" w:color="auto"/>
                      </w:divBdr>
                    </w:div>
                  </w:divsChild>
                </w:div>
                <w:div w:id="1496385724">
                  <w:marLeft w:val="0"/>
                  <w:marRight w:val="0"/>
                  <w:marTop w:val="0"/>
                  <w:marBottom w:val="0"/>
                  <w:divBdr>
                    <w:top w:val="none" w:sz="0" w:space="0" w:color="auto"/>
                    <w:left w:val="none" w:sz="0" w:space="0" w:color="auto"/>
                    <w:bottom w:val="none" w:sz="0" w:space="0" w:color="auto"/>
                    <w:right w:val="none" w:sz="0" w:space="0" w:color="auto"/>
                  </w:divBdr>
                  <w:divsChild>
                    <w:div w:id="1919705921">
                      <w:marLeft w:val="0"/>
                      <w:marRight w:val="0"/>
                      <w:marTop w:val="0"/>
                      <w:marBottom w:val="0"/>
                      <w:divBdr>
                        <w:top w:val="none" w:sz="0" w:space="0" w:color="auto"/>
                        <w:left w:val="none" w:sz="0" w:space="0" w:color="auto"/>
                        <w:bottom w:val="none" w:sz="0" w:space="0" w:color="auto"/>
                        <w:right w:val="none" w:sz="0" w:space="0" w:color="auto"/>
                      </w:divBdr>
                    </w:div>
                  </w:divsChild>
                </w:div>
                <w:div w:id="1249190554">
                  <w:marLeft w:val="0"/>
                  <w:marRight w:val="0"/>
                  <w:marTop w:val="0"/>
                  <w:marBottom w:val="0"/>
                  <w:divBdr>
                    <w:top w:val="none" w:sz="0" w:space="0" w:color="auto"/>
                    <w:left w:val="none" w:sz="0" w:space="0" w:color="auto"/>
                    <w:bottom w:val="none" w:sz="0" w:space="0" w:color="auto"/>
                    <w:right w:val="none" w:sz="0" w:space="0" w:color="auto"/>
                  </w:divBdr>
                  <w:divsChild>
                    <w:div w:id="788663512">
                      <w:marLeft w:val="0"/>
                      <w:marRight w:val="0"/>
                      <w:marTop w:val="0"/>
                      <w:marBottom w:val="0"/>
                      <w:divBdr>
                        <w:top w:val="none" w:sz="0" w:space="0" w:color="auto"/>
                        <w:left w:val="none" w:sz="0" w:space="0" w:color="auto"/>
                        <w:bottom w:val="none" w:sz="0" w:space="0" w:color="auto"/>
                        <w:right w:val="none" w:sz="0" w:space="0" w:color="auto"/>
                      </w:divBdr>
                    </w:div>
                  </w:divsChild>
                </w:div>
                <w:div w:id="958806194">
                  <w:marLeft w:val="0"/>
                  <w:marRight w:val="0"/>
                  <w:marTop w:val="0"/>
                  <w:marBottom w:val="0"/>
                  <w:divBdr>
                    <w:top w:val="none" w:sz="0" w:space="0" w:color="auto"/>
                    <w:left w:val="none" w:sz="0" w:space="0" w:color="auto"/>
                    <w:bottom w:val="none" w:sz="0" w:space="0" w:color="auto"/>
                    <w:right w:val="none" w:sz="0" w:space="0" w:color="auto"/>
                  </w:divBdr>
                  <w:divsChild>
                    <w:div w:id="38168361">
                      <w:marLeft w:val="0"/>
                      <w:marRight w:val="0"/>
                      <w:marTop w:val="0"/>
                      <w:marBottom w:val="0"/>
                      <w:divBdr>
                        <w:top w:val="none" w:sz="0" w:space="0" w:color="auto"/>
                        <w:left w:val="none" w:sz="0" w:space="0" w:color="auto"/>
                        <w:bottom w:val="none" w:sz="0" w:space="0" w:color="auto"/>
                        <w:right w:val="none" w:sz="0" w:space="0" w:color="auto"/>
                      </w:divBdr>
                    </w:div>
                  </w:divsChild>
                </w:div>
                <w:div w:id="1184057115">
                  <w:marLeft w:val="0"/>
                  <w:marRight w:val="0"/>
                  <w:marTop w:val="0"/>
                  <w:marBottom w:val="0"/>
                  <w:divBdr>
                    <w:top w:val="none" w:sz="0" w:space="0" w:color="auto"/>
                    <w:left w:val="none" w:sz="0" w:space="0" w:color="auto"/>
                    <w:bottom w:val="none" w:sz="0" w:space="0" w:color="auto"/>
                    <w:right w:val="none" w:sz="0" w:space="0" w:color="auto"/>
                  </w:divBdr>
                  <w:divsChild>
                    <w:div w:id="220944102">
                      <w:marLeft w:val="0"/>
                      <w:marRight w:val="0"/>
                      <w:marTop w:val="0"/>
                      <w:marBottom w:val="0"/>
                      <w:divBdr>
                        <w:top w:val="none" w:sz="0" w:space="0" w:color="auto"/>
                        <w:left w:val="none" w:sz="0" w:space="0" w:color="auto"/>
                        <w:bottom w:val="none" w:sz="0" w:space="0" w:color="auto"/>
                        <w:right w:val="none" w:sz="0" w:space="0" w:color="auto"/>
                      </w:divBdr>
                    </w:div>
                  </w:divsChild>
                </w:div>
                <w:div w:id="35933064">
                  <w:marLeft w:val="0"/>
                  <w:marRight w:val="0"/>
                  <w:marTop w:val="0"/>
                  <w:marBottom w:val="0"/>
                  <w:divBdr>
                    <w:top w:val="none" w:sz="0" w:space="0" w:color="auto"/>
                    <w:left w:val="none" w:sz="0" w:space="0" w:color="auto"/>
                    <w:bottom w:val="none" w:sz="0" w:space="0" w:color="auto"/>
                    <w:right w:val="none" w:sz="0" w:space="0" w:color="auto"/>
                  </w:divBdr>
                  <w:divsChild>
                    <w:div w:id="1997032270">
                      <w:marLeft w:val="0"/>
                      <w:marRight w:val="0"/>
                      <w:marTop w:val="0"/>
                      <w:marBottom w:val="0"/>
                      <w:divBdr>
                        <w:top w:val="none" w:sz="0" w:space="0" w:color="auto"/>
                        <w:left w:val="none" w:sz="0" w:space="0" w:color="auto"/>
                        <w:bottom w:val="none" w:sz="0" w:space="0" w:color="auto"/>
                        <w:right w:val="none" w:sz="0" w:space="0" w:color="auto"/>
                      </w:divBdr>
                    </w:div>
                  </w:divsChild>
                </w:div>
                <w:div w:id="1228570594">
                  <w:marLeft w:val="0"/>
                  <w:marRight w:val="0"/>
                  <w:marTop w:val="0"/>
                  <w:marBottom w:val="0"/>
                  <w:divBdr>
                    <w:top w:val="none" w:sz="0" w:space="0" w:color="auto"/>
                    <w:left w:val="none" w:sz="0" w:space="0" w:color="auto"/>
                    <w:bottom w:val="none" w:sz="0" w:space="0" w:color="auto"/>
                    <w:right w:val="none" w:sz="0" w:space="0" w:color="auto"/>
                  </w:divBdr>
                  <w:divsChild>
                    <w:div w:id="12587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21345">
          <w:marLeft w:val="0"/>
          <w:marRight w:val="0"/>
          <w:marTop w:val="0"/>
          <w:marBottom w:val="0"/>
          <w:divBdr>
            <w:top w:val="none" w:sz="0" w:space="0" w:color="auto"/>
            <w:left w:val="none" w:sz="0" w:space="0" w:color="auto"/>
            <w:bottom w:val="none" w:sz="0" w:space="0" w:color="auto"/>
            <w:right w:val="none" w:sz="0" w:space="0" w:color="auto"/>
          </w:divBdr>
          <w:divsChild>
            <w:div w:id="754286175">
              <w:marLeft w:val="150"/>
              <w:marRight w:val="150"/>
              <w:marTop w:val="0"/>
              <w:marBottom w:val="0"/>
              <w:divBdr>
                <w:top w:val="none" w:sz="0" w:space="0" w:color="auto"/>
                <w:left w:val="none" w:sz="0" w:space="0" w:color="auto"/>
                <w:bottom w:val="none" w:sz="0" w:space="0" w:color="auto"/>
                <w:right w:val="none" w:sz="0" w:space="0" w:color="auto"/>
              </w:divBdr>
              <w:divsChild>
                <w:div w:id="995262150">
                  <w:marLeft w:val="0"/>
                  <w:marRight w:val="0"/>
                  <w:marTop w:val="0"/>
                  <w:marBottom w:val="0"/>
                  <w:divBdr>
                    <w:top w:val="none" w:sz="0" w:space="0" w:color="auto"/>
                    <w:left w:val="none" w:sz="0" w:space="0" w:color="auto"/>
                    <w:bottom w:val="none" w:sz="0" w:space="0" w:color="auto"/>
                    <w:right w:val="none" w:sz="0" w:space="0" w:color="auto"/>
                  </w:divBdr>
                  <w:divsChild>
                    <w:div w:id="8743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051">
          <w:marLeft w:val="0"/>
          <w:marRight w:val="0"/>
          <w:marTop w:val="0"/>
          <w:marBottom w:val="0"/>
          <w:divBdr>
            <w:top w:val="none" w:sz="0" w:space="0" w:color="auto"/>
            <w:left w:val="none" w:sz="0" w:space="0" w:color="auto"/>
            <w:bottom w:val="none" w:sz="0" w:space="0" w:color="auto"/>
            <w:right w:val="none" w:sz="0" w:space="0" w:color="auto"/>
          </w:divBdr>
          <w:divsChild>
            <w:div w:id="454252334">
              <w:marLeft w:val="150"/>
              <w:marRight w:val="150"/>
              <w:marTop w:val="0"/>
              <w:marBottom w:val="0"/>
              <w:divBdr>
                <w:top w:val="none" w:sz="0" w:space="0" w:color="auto"/>
                <w:left w:val="none" w:sz="0" w:space="0" w:color="auto"/>
                <w:bottom w:val="none" w:sz="0" w:space="0" w:color="auto"/>
                <w:right w:val="none" w:sz="0" w:space="0" w:color="auto"/>
              </w:divBdr>
              <w:divsChild>
                <w:div w:id="1198854506">
                  <w:marLeft w:val="0"/>
                  <w:marRight w:val="0"/>
                  <w:marTop w:val="0"/>
                  <w:marBottom w:val="0"/>
                  <w:divBdr>
                    <w:top w:val="none" w:sz="0" w:space="0" w:color="auto"/>
                    <w:left w:val="none" w:sz="0" w:space="0" w:color="auto"/>
                    <w:bottom w:val="none" w:sz="0" w:space="0" w:color="auto"/>
                    <w:right w:val="none" w:sz="0" w:space="0" w:color="auto"/>
                  </w:divBdr>
                  <w:divsChild>
                    <w:div w:id="16493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14946">
      <w:bodyDiv w:val="1"/>
      <w:marLeft w:val="0"/>
      <w:marRight w:val="0"/>
      <w:marTop w:val="0"/>
      <w:marBottom w:val="0"/>
      <w:divBdr>
        <w:top w:val="none" w:sz="0" w:space="0" w:color="auto"/>
        <w:left w:val="none" w:sz="0" w:space="0" w:color="auto"/>
        <w:bottom w:val="none" w:sz="0" w:space="0" w:color="auto"/>
        <w:right w:val="none" w:sz="0" w:space="0" w:color="auto"/>
      </w:divBdr>
      <w:divsChild>
        <w:div w:id="363948762">
          <w:marLeft w:val="0"/>
          <w:marRight w:val="0"/>
          <w:marTop w:val="0"/>
          <w:marBottom w:val="0"/>
          <w:divBdr>
            <w:top w:val="none" w:sz="0" w:space="0" w:color="auto"/>
            <w:left w:val="none" w:sz="0" w:space="0" w:color="auto"/>
            <w:bottom w:val="none" w:sz="0" w:space="0" w:color="auto"/>
            <w:right w:val="none" w:sz="0" w:space="0" w:color="auto"/>
          </w:divBdr>
          <w:divsChild>
            <w:div w:id="1542744522">
              <w:marLeft w:val="150"/>
              <w:marRight w:val="150"/>
              <w:marTop w:val="0"/>
              <w:marBottom w:val="0"/>
              <w:divBdr>
                <w:top w:val="none" w:sz="0" w:space="0" w:color="auto"/>
                <w:left w:val="none" w:sz="0" w:space="0" w:color="auto"/>
                <w:bottom w:val="none" w:sz="0" w:space="0" w:color="auto"/>
                <w:right w:val="none" w:sz="0" w:space="0" w:color="auto"/>
              </w:divBdr>
              <w:divsChild>
                <w:div w:id="548105623">
                  <w:marLeft w:val="0"/>
                  <w:marRight w:val="0"/>
                  <w:marTop w:val="0"/>
                  <w:marBottom w:val="0"/>
                  <w:divBdr>
                    <w:top w:val="none" w:sz="0" w:space="0" w:color="auto"/>
                    <w:left w:val="none" w:sz="0" w:space="0" w:color="auto"/>
                    <w:bottom w:val="none" w:sz="0" w:space="0" w:color="auto"/>
                    <w:right w:val="none" w:sz="0" w:space="0" w:color="auto"/>
                  </w:divBdr>
                  <w:divsChild>
                    <w:div w:id="851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232227">
          <w:marLeft w:val="0"/>
          <w:marRight w:val="0"/>
          <w:marTop w:val="0"/>
          <w:marBottom w:val="0"/>
          <w:divBdr>
            <w:top w:val="none" w:sz="0" w:space="0" w:color="auto"/>
            <w:left w:val="none" w:sz="0" w:space="0" w:color="auto"/>
            <w:bottom w:val="none" w:sz="0" w:space="0" w:color="auto"/>
            <w:right w:val="none" w:sz="0" w:space="0" w:color="auto"/>
          </w:divBdr>
          <w:divsChild>
            <w:div w:id="1582178839">
              <w:marLeft w:val="150"/>
              <w:marRight w:val="150"/>
              <w:marTop w:val="0"/>
              <w:marBottom w:val="0"/>
              <w:divBdr>
                <w:top w:val="none" w:sz="0" w:space="0" w:color="auto"/>
                <w:left w:val="none" w:sz="0" w:space="0" w:color="auto"/>
                <w:bottom w:val="none" w:sz="0" w:space="0" w:color="auto"/>
                <w:right w:val="none" w:sz="0" w:space="0" w:color="auto"/>
              </w:divBdr>
              <w:divsChild>
                <w:div w:id="1311135572">
                  <w:marLeft w:val="0"/>
                  <w:marRight w:val="0"/>
                  <w:marTop w:val="0"/>
                  <w:marBottom w:val="0"/>
                  <w:divBdr>
                    <w:top w:val="none" w:sz="0" w:space="0" w:color="auto"/>
                    <w:left w:val="none" w:sz="0" w:space="0" w:color="auto"/>
                    <w:bottom w:val="none" w:sz="0" w:space="0" w:color="auto"/>
                    <w:right w:val="none" w:sz="0" w:space="0" w:color="auto"/>
                  </w:divBdr>
                  <w:divsChild>
                    <w:div w:id="14200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27237">
          <w:marLeft w:val="0"/>
          <w:marRight w:val="0"/>
          <w:marTop w:val="0"/>
          <w:marBottom w:val="0"/>
          <w:divBdr>
            <w:top w:val="none" w:sz="0" w:space="0" w:color="auto"/>
            <w:left w:val="none" w:sz="0" w:space="0" w:color="auto"/>
            <w:bottom w:val="none" w:sz="0" w:space="0" w:color="auto"/>
            <w:right w:val="none" w:sz="0" w:space="0" w:color="auto"/>
          </w:divBdr>
          <w:divsChild>
            <w:div w:id="1631202450">
              <w:marLeft w:val="150"/>
              <w:marRight w:val="150"/>
              <w:marTop w:val="0"/>
              <w:marBottom w:val="0"/>
              <w:divBdr>
                <w:top w:val="none" w:sz="0" w:space="0" w:color="auto"/>
                <w:left w:val="none" w:sz="0" w:space="0" w:color="auto"/>
                <w:bottom w:val="none" w:sz="0" w:space="0" w:color="auto"/>
                <w:right w:val="none" w:sz="0" w:space="0" w:color="auto"/>
              </w:divBdr>
              <w:divsChild>
                <w:div w:id="233512414">
                  <w:marLeft w:val="0"/>
                  <w:marRight w:val="0"/>
                  <w:marTop w:val="0"/>
                  <w:marBottom w:val="0"/>
                  <w:divBdr>
                    <w:top w:val="none" w:sz="0" w:space="0" w:color="auto"/>
                    <w:left w:val="none" w:sz="0" w:space="0" w:color="auto"/>
                    <w:bottom w:val="none" w:sz="0" w:space="0" w:color="auto"/>
                    <w:right w:val="none" w:sz="0" w:space="0" w:color="auto"/>
                  </w:divBdr>
                  <w:divsChild>
                    <w:div w:id="20202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ofengland.co.uk/markets/transition-to-sterling-risk-free-rates-from-libor/resources-for-firms-transitioning-from-libor" TargetMode="External"/><Relationship Id="rId13" Type="http://schemas.openxmlformats.org/officeDocument/2006/relationships/hyperlink" Target="https://www.fca.org.uk/markets/libor" TargetMode="External"/><Relationship Id="rId18" Type="http://schemas.openxmlformats.org/officeDocument/2006/relationships/hyperlink" Target="https://www.bankofengland.co.uk/paper/2021/derivatives-clearing-obligation-modifications-to-reflect-interest-rate-benchmark-reform" TargetMode="External"/><Relationship Id="rId26" Type="http://schemas.openxmlformats.org/officeDocument/2006/relationships/hyperlink" Target="https://www.bankofengland.co.uk/news/2021/march/fca-and-boe-encourage-market-participants-in-sonia-switch-in-sterling-non-linear-derivatives-market" TargetMode="External"/><Relationship Id="rId39" Type="http://schemas.openxmlformats.org/officeDocument/2006/relationships/hyperlink" Target="https://www.bankofengland.co.uk/markets/sonia-benchmark/administration-of-sonia" TargetMode="External"/><Relationship Id="rId3" Type="http://schemas.openxmlformats.org/officeDocument/2006/relationships/settings" Target="settings.xml"/><Relationship Id="rId21" Type="http://schemas.openxmlformats.org/officeDocument/2006/relationships/hyperlink" Target="https://www.bankofengland.co.uk/news/2021/june/fca-boe-encourage-market-participants-in-a-switch-to-sofr-26-july" TargetMode="External"/><Relationship Id="rId34" Type="http://schemas.openxmlformats.org/officeDocument/2006/relationships/hyperlink" Target="https://www.bankofengland.co.uk/-/media/boe/files/markets/benchmarks/rfr/rfr-working-group-roadmap.pdf?la=en&amp;hash=92D95DFA056D7475CE395B64AA1F6A099DA6AC5D&amp;hash=92D95DFA056D7475CE395B64AA1F6A099DA6AC5D" TargetMode="External"/><Relationship Id="rId42" Type="http://schemas.openxmlformats.org/officeDocument/2006/relationships/hyperlink" Target="https://www.bankofengland.co.uk/markets/transition-to-sterling-risk-free-rates-from-libor/working-group-on-sterling-risk-free-reference-rates" TargetMode="External"/><Relationship Id="rId7" Type="http://schemas.openxmlformats.org/officeDocument/2006/relationships/hyperlink" Target="https://www.bankofengland.co.uk/markets/transition-to-sterling-risk-free-rates-from-libor/working-group-on-sterling-risk-free-reference-rates" TargetMode="External"/><Relationship Id="rId12" Type="http://schemas.openxmlformats.org/officeDocument/2006/relationships/hyperlink" Target="https://www.bankofengland.co.uk/markets/transition-to-sterling-risk-free-rates-from-libor/resources-for-firms-transitioning-from-libor" TargetMode="External"/><Relationship Id="rId17" Type="http://schemas.openxmlformats.org/officeDocument/2006/relationships/hyperlink" Target="https://www.bankofengland.co.uk/paper/2021/derivatives-clearing-obligation-introduction-of-contracts-referencing-tona-ps" TargetMode="External"/><Relationship Id="rId25" Type="http://schemas.openxmlformats.org/officeDocument/2006/relationships/hyperlink" Target="https://www.bankofengland.co.uk/news/2021/may/fca-and-boe-encourage-market-participants-in-a-switch-to-sonia-17-june" TargetMode="External"/><Relationship Id="rId33" Type="http://schemas.openxmlformats.org/officeDocument/2006/relationships/hyperlink" Target="https://www.bankofengland.co.uk/news/2021/january/the-final-countdown-completing-sterling-libor-transition-by-end-2021" TargetMode="External"/><Relationship Id="rId38" Type="http://schemas.openxmlformats.org/officeDocument/2006/relationships/hyperlink" Target="https://www.bankofengland.co.uk/markets/sonia-benchmark/administration-of-sonia" TargetMode="External"/><Relationship Id="rId2" Type="http://schemas.openxmlformats.org/officeDocument/2006/relationships/styles" Target="styles.xml"/><Relationship Id="rId16" Type="http://schemas.openxmlformats.org/officeDocument/2006/relationships/hyperlink" Target="https://www.bankofengland.co.uk/news/2022/february/sterling-risk-free-reference-rates-finalising-libor-transition" TargetMode="External"/><Relationship Id="rId20" Type="http://schemas.openxmlformats.org/officeDocument/2006/relationships/hyperlink" Target="https://www.bankofengland.co.uk/news/2021/july/fca-boe-encourage-market-participants-in-a-switch-to-rfrs-in-the-libor-cross-currency-swaps-market" TargetMode="External"/><Relationship Id="rId29" Type="http://schemas.openxmlformats.org/officeDocument/2006/relationships/hyperlink" Target="https://www.bankofengland.co.uk/markets/market-notices/2021/march/risk-management-approach-to-collateral-referencing-libor-march-2021" TargetMode="External"/><Relationship Id="rId41" Type="http://schemas.openxmlformats.org/officeDocument/2006/relationships/hyperlink" Target="https://www.bankofengland.co.uk/news/2022/february/sterling-risk-free-reference-rates-finalising-libor-transi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nkofengland.co.uk/markets/transition-to-sterling-risk-free-rates-from-libor/working-group-on-sterling-risk-free-reference-rates" TargetMode="External"/><Relationship Id="rId24" Type="http://schemas.openxmlformats.org/officeDocument/2006/relationships/hyperlink" Target="https://www.bankofengland.co.uk/report/2021/third-edition-of-the-regulatory-initiatives-grid" TargetMode="External"/><Relationship Id="rId32" Type="http://schemas.openxmlformats.org/officeDocument/2006/relationships/hyperlink" Target="https://www.bankofengland.co.uk/news/2021/march/announcements-on-the-end-of-libor" TargetMode="External"/><Relationship Id="rId37" Type="http://schemas.openxmlformats.org/officeDocument/2006/relationships/hyperlink" Target="https://www.bankofengland.co.uk/markets/bank-of-england-market-operations-guide" TargetMode="External"/><Relationship Id="rId40" Type="http://schemas.openxmlformats.org/officeDocument/2006/relationships/hyperlink" Target="https://www.bankofengland.co.uk/markets/sonia-benchmark"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ankofengland.co.uk/financial-stability-report/2021/july-2021" TargetMode="External"/><Relationship Id="rId23" Type="http://schemas.openxmlformats.org/officeDocument/2006/relationships/hyperlink" Target="https://www.bankofengland.co.uk/speech/2021/may/andrew-bailey-a-moderated-discussion-with-john-williams-president-of-ny-fed" TargetMode="External"/><Relationship Id="rId28" Type="http://schemas.openxmlformats.org/officeDocument/2006/relationships/hyperlink" Target="https://www.fca.org.uk/publication/documents/future-cessation-loss-representativeness-libor-benchmarks.pdf" TargetMode="External"/><Relationship Id="rId36" Type="http://schemas.openxmlformats.org/officeDocument/2006/relationships/hyperlink" Target="https://www.bankofengland.co.uk/markets/transition-to-sterling-risk-free-rates-from-libor" TargetMode="External"/><Relationship Id="rId10" Type="http://schemas.openxmlformats.org/officeDocument/2006/relationships/hyperlink" Target="https://www.bankofengland.co.uk/markets/sonia-benchmark" TargetMode="External"/><Relationship Id="rId19" Type="http://schemas.openxmlformats.org/officeDocument/2006/relationships/hyperlink" Target="https://www.bankofengland.co.uk/paper/2021/derivatives-clearing-obligation-introduction-of-contracts-referencing-tona" TargetMode="External"/><Relationship Id="rId31" Type="http://schemas.openxmlformats.org/officeDocument/2006/relationships/hyperlink" Target="https://fmsb.com/wp-content/uploads/2021/03/FMSB-Term-Rate-Standard_TRANSPARENCY-DRAFT_Final.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nkofengland.co.uk/markets/sonia-benchmark" TargetMode="External"/><Relationship Id="rId14" Type="http://schemas.openxmlformats.org/officeDocument/2006/relationships/hyperlink" Target="https://www.bankofengland.co.uk/markets/market-notices/2022/may/the-banks-risk-management-approach-market-notice-19-may-2022" TargetMode="External"/><Relationship Id="rId22" Type="http://schemas.openxmlformats.org/officeDocument/2006/relationships/hyperlink" Target="https://www.bankofengland.co.uk/paper/2021/derivatives-clearing-obligation-modifications-to-reflect-interest-rate-benchmark-reform-amendments" TargetMode="External"/><Relationship Id="rId27" Type="http://schemas.openxmlformats.org/officeDocument/2006/relationships/hyperlink" Target="https://www.bankofengland.co.uk/prudential-regulation/letter/2021/march/transition-from-libor-to-risk-free-rates" TargetMode="External"/><Relationship Id="rId30" Type="http://schemas.openxmlformats.org/officeDocument/2006/relationships/hyperlink" Target="https://www.bankofengland.co.uk/-/media/boe/files/markets/benchmarks/rfr/statement-welcoming-proposed-market-standard-on-use-of-term-sonia-march-2021.pdf?la=en&amp;hash=58AE4A317F7F544B8EA59F356767117EBF9A7DB8&amp;hash=58AE4A317F7F544B8EA59F356767117EBF9A7DB8" TargetMode="External"/><Relationship Id="rId35" Type="http://schemas.openxmlformats.org/officeDocument/2006/relationships/hyperlink" Target="https://www.bankofengland.co.uk/prudential-regulation/publication/2021/january/solvency-ii-deep-liquid-and-transparent-assessments-gbp-transition-to-sonia"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2546</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 Walker</dc:creator>
  <cp:keywords/>
  <dc:description/>
  <cp:lastModifiedBy>GA Walker</cp:lastModifiedBy>
  <cp:revision>2</cp:revision>
  <cp:lastPrinted>2022-10-18T15:43:00Z</cp:lastPrinted>
  <dcterms:created xsi:type="dcterms:W3CDTF">2022-10-18T15:37:00Z</dcterms:created>
  <dcterms:modified xsi:type="dcterms:W3CDTF">2022-10-18T16:20:00Z</dcterms:modified>
</cp:coreProperties>
</file>