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7EE" w:rsidRPr="000D6F12" w:rsidRDefault="00D71316" w:rsidP="00D71316">
      <w:pPr>
        <w:tabs>
          <w:tab w:val="left" w:pos="6960"/>
        </w:tabs>
        <w:jc w:val="both"/>
        <w:rPr>
          <w:rFonts w:ascii="Arial Black" w:hAnsi="Arial Black"/>
          <w:b/>
          <w:sz w:val="20"/>
          <w:szCs w:val="20"/>
        </w:rPr>
      </w:pPr>
      <w:r>
        <w:rPr>
          <w:rFonts w:ascii="Arial Black" w:hAnsi="Arial Black"/>
          <w:b/>
          <w:sz w:val="20"/>
          <w:szCs w:val="20"/>
        </w:rPr>
        <w:t xml:space="preserve">  </w:t>
      </w:r>
      <w:r w:rsidR="00D422DA">
        <w:rPr>
          <w:rFonts w:ascii="Arial Black" w:hAnsi="Arial Black"/>
          <w:b/>
          <w:sz w:val="20"/>
          <w:szCs w:val="20"/>
        </w:rPr>
        <w:tab/>
      </w:r>
      <w:r w:rsidR="00D422DA">
        <w:rPr>
          <w:rFonts w:ascii="Arial Black" w:hAnsi="Arial Black"/>
          <w:b/>
          <w:sz w:val="20"/>
          <w:szCs w:val="20"/>
        </w:rPr>
        <w:tab/>
      </w:r>
      <w:r>
        <w:rPr>
          <w:rFonts w:ascii="Arial Black" w:hAnsi="Arial Black"/>
          <w:b/>
          <w:sz w:val="20"/>
          <w:szCs w:val="20"/>
        </w:rPr>
        <w:t xml:space="preserve">                             </w:t>
      </w:r>
      <w:r>
        <w:rPr>
          <w:rFonts w:ascii="Arial Black" w:hAnsi="Arial Black"/>
          <w:b/>
          <w:noProof/>
          <w:sz w:val="20"/>
          <w:szCs w:val="20"/>
          <w:lang w:eastAsia="en-GB"/>
        </w:rPr>
        <w:drawing>
          <wp:inline distT="0" distB="0" distL="0" distR="0">
            <wp:extent cx="1977656" cy="1553749"/>
            <wp:effectExtent l="19050" t="0" r="3544" b="0"/>
            <wp:docPr id="1" name="Picture 1" descr="E:\prof g a w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f g a walke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9865"/>
                    <a:stretch/>
                  </pic:blipFill>
                  <pic:spPr bwMode="auto">
                    <a:xfrm>
                      <a:off x="0" y="0"/>
                      <a:ext cx="1978587" cy="1554480"/>
                    </a:xfrm>
                    <a:prstGeom prst="rect">
                      <a:avLst/>
                    </a:prstGeom>
                    <a:noFill/>
                    <a:ln>
                      <a:noFill/>
                    </a:ln>
                    <a:extLst>
                      <a:ext uri="{53640926-AAD7-44D8-BBD7-CCE9431645EC}">
                        <a14:shadowObscured xmlns:a14="http://schemas.microsoft.com/office/drawing/2010/main"/>
                      </a:ext>
                    </a:extLst>
                  </pic:spPr>
                </pic:pic>
              </a:graphicData>
            </a:graphic>
          </wp:inline>
        </w:drawing>
      </w:r>
      <w:r w:rsidR="00234B2C">
        <w:rPr>
          <w:rFonts w:ascii="Arial Black" w:hAnsi="Arial Black"/>
          <w:b/>
          <w:sz w:val="20"/>
          <w:szCs w:val="20"/>
        </w:rPr>
        <w:t xml:space="preserve">      </w:t>
      </w:r>
      <w:r w:rsidR="00F001F8">
        <w:rPr>
          <w:rFonts w:ascii="Arial Black" w:hAnsi="Arial Black"/>
          <w:b/>
          <w:sz w:val="20"/>
          <w:szCs w:val="20"/>
        </w:rPr>
        <w:t xml:space="preserve">                              </w:t>
      </w:r>
      <w:r w:rsidR="00234B2C">
        <w:rPr>
          <w:rFonts w:ascii="Arial Black" w:hAnsi="Arial Black"/>
          <w:b/>
          <w:sz w:val="20"/>
          <w:szCs w:val="20"/>
        </w:rPr>
        <w:t xml:space="preserve">       </w:t>
      </w:r>
      <w:r w:rsidR="00F001F8">
        <w:rPr>
          <w:rFonts w:ascii="Arial Black" w:hAnsi="Arial Black"/>
          <w:b/>
          <w:sz w:val="20"/>
          <w:szCs w:val="20"/>
        </w:rPr>
        <w:object w:dxaOrig="226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2.05pt;height:65.45pt" o:ole="">
            <v:imagedata r:id="rId9" o:title=""/>
          </v:shape>
          <o:OLEObject Type="Embed" ProgID="Package" ShapeID="_x0000_i1028" DrawAspect="Content" ObjectID="_1655311063" r:id="rId10"/>
        </w:object>
      </w:r>
      <w:r w:rsidR="00234B2C">
        <w:rPr>
          <w:rFonts w:ascii="Arial Black" w:hAnsi="Arial Black"/>
          <w:b/>
          <w:sz w:val="20"/>
          <w:szCs w:val="20"/>
        </w:rPr>
        <w:tab/>
      </w:r>
      <w:r w:rsidR="00234B2C">
        <w:rPr>
          <w:rFonts w:ascii="Arial Black" w:hAnsi="Arial Black"/>
          <w:b/>
          <w:sz w:val="20"/>
          <w:szCs w:val="20"/>
        </w:rPr>
        <w:tab/>
      </w:r>
    </w:p>
    <w:p w:rsidR="00E3214A" w:rsidRPr="000D6F12" w:rsidRDefault="00E3214A" w:rsidP="006B152C">
      <w:pPr>
        <w:jc w:val="both"/>
        <w:rPr>
          <w:rFonts w:ascii="Arial Black" w:hAnsi="Arial Black"/>
          <w:sz w:val="20"/>
          <w:szCs w:val="20"/>
        </w:rPr>
      </w:pPr>
      <w:r w:rsidRPr="000D6F12">
        <w:rPr>
          <w:rFonts w:ascii="Arial Black" w:hAnsi="Arial Black"/>
          <w:b/>
          <w:sz w:val="20"/>
          <w:szCs w:val="20"/>
        </w:rPr>
        <w:t>INTERNATIONAL FINANC</w:t>
      </w:r>
      <w:r w:rsidR="00D71316">
        <w:rPr>
          <w:rFonts w:ascii="Arial Black" w:hAnsi="Arial Black"/>
          <w:b/>
          <w:sz w:val="20"/>
          <w:szCs w:val="20"/>
        </w:rPr>
        <w:t>E</w:t>
      </w:r>
      <w:r w:rsidRPr="000D6F12">
        <w:rPr>
          <w:rFonts w:ascii="Arial Black" w:hAnsi="Arial Black"/>
          <w:b/>
          <w:sz w:val="20"/>
          <w:szCs w:val="20"/>
        </w:rPr>
        <w:t xml:space="preserve"> LAW</w:t>
      </w:r>
      <w:r w:rsidR="00234B2C">
        <w:rPr>
          <w:rFonts w:ascii="Arial Black" w:hAnsi="Arial Black"/>
          <w:b/>
          <w:sz w:val="20"/>
          <w:szCs w:val="20"/>
        </w:rPr>
        <w:tab/>
      </w:r>
      <w:r w:rsidR="00F001F8">
        <w:rPr>
          <w:rFonts w:ascii="Arial Black" w:hAnsi="Arial Black"/>
          <w:b/>
          <w:sz w:val="20"/>
          <w:szCs w:val="20"/>
        </w:rPr>
        <w:tab/>
      </w:r>
      <w:r w:rsidR="00F001F8">
        <w:rPr>
          <w:rFonts w:ascii="Arial Black" w:hAnsi="Arial Black"/>
          <w:b/>
          <w:sz w:val="20"/>
          <w:szCs w:val="20"/>
        </w:rPr>
        <w:tab/>
      </w:r>
      <w:r w:rsidR="00F001F8">
        <w:rPr>
          <w:rFonts w:ascii="Arial Black" w:hAnsi="Arial Black"/>
          <w:b/>
          <w:sz w:val="20"/>
          <w:szCs w:val="20"/>
        </w:rPr>
        <w:tab/>
      </w:r>
      <w:r w:rsidR="00F001F8">
        <w:rPr>
          <w:rFonts w:ascii="Arial Black" w:hAnsi="Arial Black"/>
          <w:b/>
          <w:sz w:val="20"/>
          <w:szCs w:val="20"/>
        </w:rPr>
        <w:tab/>
        <w:t>PROF G A</w:t>
      </w:r>
      <w:bookmarkStart w:id="0" w:name="_GoBack"/>
      <w:bookmarkEnd w:id="0"/>
      <w:r w:rsidR="00F001F8">
        <w:rPr>
          <w:rFonts w:ascii="Arial Black" w:hAnsi="Arial Black"/>
          <w:b/>
          <w:sz w:val="20"/>
          <w:szCs w:val="20"/>
        </w:rPr>
        <w:t xml:space="preserve"> WALKER</w:t>
      </w:r>
      <w:r w:rsidR="00F001F8">
        <w:rPr>
          <w:rFonts w:ascii="Arial Black" w:hAnsi="Arial Black"/>
          <w:b/>
          <w:sz w:val="20"/>
          <w:szCs w:val="20"/>
        </w:rPr>
        <w:tab/>
      </w:r>
    </w:p>
    <w:p w:rsidR="00E3214A" w:rsidRPr="000D6F12" w:rsidRDefault="00EF6BCD" w:rsidP="006B152C">
      <w:pPr>
        <w:jc w:val="both"/>
        <w:rPr>
          <w:sz w:val="20"/>
          <w:szCs w:val="20"/>
        </w:rPr>
      </w:pPr>
      <w:r w:rsidRPr="000D6F12">
        <w:rPr>
          <w:sz w:val="20"/>
          <w:szCs w:val="20"/>
        </w:rPr>
        <w:t xml:space="preserve">The international </w:t>
      </w:r>
      <w:r w:rsidR="00E3214A" w:rsidRPr="000D6F12">
        <w:rPr>
          <w:sz w:val="20"/>
          <w:szCs w:val="20"/>
        </w:rPr>
        <w:t xml:space="preserve">finance markets are the largest markets in the world. International finance </w:t>
      </w:r>
      <w:r w:rsidR="00165547" w:rsidRPr="000D6F12">
        <w:rPr>
          <w:sz w:val="20"/>
          <w:szCs w:val="20"/>
        </w:rPr>
        <w:t xml:space="preserve">has </w:t>
      </w:r>
      <w:r w:rsidR="00E3214A" w:rsidRPr="000D6F12">
        <w:rPr>
          <w:sz w:val="20"/>
          <w:szCs w:val="20"/>
        </w:rPr>
        <w:t xml:space="preserve">enjoyed massive growth and expansion </w:t>
      </w:r>
      <w:r w:rsidR="003A0DB5" w:rsidRPr="000D6F12">
        <w:rPr>
          <w:sz w:val="20"/>
          <w:szCs w:val="20"/>
        </w:rPr>
        <w:t>in recent decades following an earlier period of post-</w:t>
      </w:r>
      <w:r w:rsidR="00E3214A" w:rsidRPr="000D6F12">
        <w:rPr>
          <w:sz w:val="20"/>
          <w:szCs w:val="20"/>
        </w:rPr>
        <w:t xml:space="preserve">War recovery and </w:t>
      </w:r>
      <w:r w:rsidR="003A0DB5" w:rsidRPr="000D6F12">
        <w:rPr>
          <w:sz w:val="20"/>
          <w:szCs w:val="20"/>
        </w:rPr>
        <w:t>reconstruction</w:t>
      </w:r>
      <w:r w:rsidR="00E3214A" w:rsidRPr="000D6F12">
        <w:rPr>
          <w:sz w:val="20"/>
          <w:szCs w:val="20"/>
        </w:rPr>
        <w:t>. The largest companies i</w:t>
      </w:r>
      <w:r w:rsidR="003A0DB5" w:rsidRPr="000D6F12">
        <w:rPr>
          <w:sz w:val="20"/>
          <w:szCs w:val="20"/>
        </w:rPr>
        <w:t>n the world and governments use</w:t>
      </w:r>
      <w:r w:rsidR="00E3214A" w:rsidRPr="000D6F12">
        <w:rPr>
          <w:sz w:val="20"/>
          <w:szCs w:val="20"/>
        </w:rPr>
        <w:t xml:space="preserve"> these markets on a daily basis to fund their capital and investment and working capital programmes. Over US$</w:t>
      </w:r>
      <w:r w:rsidR="00D422DA">
        <w:rPr>
          <w:sz w:val="20"/>
          <w:szCs w:val="20"/>
        </w:rPr>
        <w:t>5.3</w:t>
      </w:r>
      <w:r w:rsidR="00E3214A" w:rsidRPr="000D6F12">
        <w:rPr>
          <w:sz w:val="20"/>
          <w:szCs w:val="20"/>
        </w:rPr>
        <w:t xml:space="preserve">tn is moved each day in the international currency markets with the total global financial system being worth </w:t>
      </w:r>
      <w:r w:rsidR="003A0DB5" w:rsidRPr="000D6F12">
        <w:rPr>
          <w:sz w:val="20"/>
          <w:szCs w:val="20"/>
        </w:rPr>
        <w:t xml:space="preserve">in excess of </w:t>
      </w:r>
      <w:r w:rsidR="00563FAB" w:rsidRPr="000D6F12">
        <w:rPr>
          <w:sz w:val="20"/>
          <w:szCs w:val="20"/>
        </w:rPr>
        <w:t>US</w:t>
      </w:r>
      <w:r w:rsidR="008E5077" w:rsidRPr="000D6F12">
        <w:rPr>
          <w:sz w:val="20"/>
          <w:szCs w:val="20"/>
        </w:rPr>
        <w:t>$</w:t>
      </w:r>
      <w:r w:rsidR="00D422DA">
        <w:rPr>
          <w:sz w:val="20"/>
          <w:szCs w:val="20"/>
        </w:rPr>
        <w:t>200</w:t>
      </w:r>
      <w:r w:rsidR="00E3214A" w:rsidRPr="000D6F12">
        <w:rPr>
          <w:sz w:val="20"/>
          <w:szCs w:val="20"/>
        </w:rPr>
        <w:t>tn.</w:t>
      </w:r>
    </w:p>
    <w:p w:rsidR="00E3214A" w:rsidRPr="000D6F12" w:rsidRDefault="00E3214A" w:rsidP="006B152C">
      <w:pPr>
        <w:jc w:val="both"/>
        <w:rPr>
          <w:sz w:val="20"/>
          <w:szCs w:val="20"/>
        </w:rPr>
      </w:pPr>
      <w:r w:rsidRPr="000D6F12">
        <w:rPr>
          <w:sz w:val="20"/>
          <w:szCs w:val="20"/>
        </w:rPr>
        <w:t xml:space="preserve">The international finance markets are made up of a number of separate markets. These principally consist of the </w:t>
      </w:r>
      <w:r w:rsidR="00A101A1" w:rsidRPr="000D6F12">
        <w:rPr>
          <w:sz w:val="20"/>
          <w:szCs w:val="20"/>
        </w:rPr>
        <w:t xml:space="preserve">Euro </w:t>
      </w:r>
      <w:r w:rsidRPr="000D6F12">
        <w:rPr>
          <w:sz w:val="20"/>
          <w:szCs w:val="20"/>
        </w:rPr>
        <w:t xml:space="preserve">syndicated loan and </w:t>
      </w:r>
      <w:r w:rsidR="00A101A1" w:rsidRPr="000D6F12">
        <w:rPr>
          <w:sz w:val="20"/>
          <w:szCs w:val="20"/>
        </w:rPr>
        <w:t>Euro</w:t>
      </w:r>
      <w:r w:rsidRPr="000D6F12">
        <w:rPr>
          <w:sz w:val="20"/>
          <w:szCs w:val="20"/>
        </w:rPr>
        <w:t>-</w:t>
      </w:r>
      <w:r w:rsidR="00A101A1" w:rsidRPr="000D6F12">
        <w:rPr>
          <w:sz w:val="20"/>
          <w:szCs w:val="20"/>
        </w:rPr>
        <w:t>bond</w:t>
      </w:r>
      <w:r w:rsidRPr="000D6F12">
        <w:rPr>
          <w:sz w:val="20"/>
          <w:szCs w:val="20"/>
        </w:rPr>
        <w:t xml:space="preserve"> markets with an underlying </w:t>
      </w:r>
      <w:r w:rsidR="00A101A1" w:rsidRPr="000D6F12">
        <w:rPr>
          <w:sz w:val="20"/>
          <w:szCs w:val="20"/>
        </w:rPr>
        <w:t>Euro</w:t>
      </w:r>
      <w:r w:rsidRPr="000D6F12">
        <w:rPr>
          <w:sz w:val="20"/>
          <w:szCs w:val="20"/>
        </w:rPr>
        <w:t xml:space="preserve">-dollar interbank market. The international capital markets include global equity issues and depository receipts as well as international debentures and shorter </w:t>
      </w:r>
      <w:r w:rsidR="00A101A1" w:rsidRPr="000D6F12">
        <w:rPr>
          <w:sz w:val="20"/>
          <w:szCs w:val="20"/>
        </w:rPr>
        <w:t>Medium Term Note</w:t>
      </w:r>
      <w:r w:rsidRPr="000D6F12">
        <w:rPr>
          <w:sz w:val="20"/>
          <w:szCs w:val="20"/>
        </w:rPr>
        <w:t xml:space="preserve">, </w:t>
      </w:r>
      <w:proofErr w:type="spellStart"/>
      <w:r w:rsidR="00A101A1" w:rsidRPr="000D6F12">
        <w:rPr>
          <w:sz w:val="20"/>
          <w:szCs w:val="20"/>
        </w:rPr>
        <w:t>Euro</w:t>
      </w:r>
      <w:r w:rsidR="007159E6" w:rsidRPr="000D6F12">
        <w:rPr>
          <w:sz w:val="20"/>
          <w:szCs w:val="20"/>
        </w:rPr>
        <w:t>note</w:t>
      </w:r>
      <w:proofErr w:type="spellEnd"/>
      <w:r w:rsidRPr="000D6F12">
        <w:rPr>
          <w:sz w:val="20"/>
          <w:szCs w:val="20"/>
        </w:rPr>
        <w:t xml:space="preserve"> and less than one year </w:t>
      </w:r>
      <w:r w:rsidR="00A101A1" w:rsidRPr="000D6F12">
        <w:rPr>
          <w:sz w:val="20"/>
          <w:szCs w:val="20"/>
        </w:rPr>
        <w:t xml:space="preserve">Commercial Paper </w:t>
      </w:r>
      <w:r w:rsidRPr="000D6F12">
        <w:rPr>
          <w:sz w:val="20"/>
          <w:szCs w:val="20"/>
        </w:rPr>
        <w:t xml:space="preserve">programmes. The </w:t>
      </w:r>
      <w:r w:rsidR="004D77E9" w:rsidRPr="000D6F12">
        <w:rPr>
          <w:sz w:val="20"/>
          <w:szCs w:val="20"/>
        </w:rPr>
        <w:t xml:space="preserve">financial </w:t>
      </w:r>
      <w:r w:rsidRPr="000D6F12">
        <w:rPr>
          <w:sz w:val="20"/>
          <w:szCs w:val="20"/>
        </w:rPr>
        <w:t xml:space="preserve">derivatives markets have expanded substantially since the early 1970s and are now made up of the international </w:t>
      </w:r>
      <w:r w:rsidR="003B65FC" w:rsidRPr="000D6F12">
        <w:rPr>
          <w:sz w:val="20"/>
          <w:szCs w:val="20"/>
        </w:rPr>
        <w:t xml:space="preserve">Swap </w:t>
      </w:r>
      <w:r w:rsidRPr="000D6F12">
        <w:rPr>
          <w:sz w:val="20"/>
          <w:szCs w:val="20"/>
        </w:rPr>
        <w:t xml:space="preserve">and over-the-counter (OTC) and exchange traded </w:t>
      </w:r>
      <w:r w:rsidR="003B65FC" w:rsidRPr="000D6F12">
        <w:rPr>
          <w:sz w:val="20"/>
          <w:szCs w:val="20"/>
        </w:rPr>
        <w:t xml:space="preserve">Futures </w:t>
      </w:r>
      <w:r w:rsidRPr="000D6F12">
        <w:rPr>
          <w:sz w:val="20"/>
          <w:szCs w:val="20"/>
        </w:rPr>
        <w:t xml:space="preserve">and </w:t>
      </w:r>
      <w:r w:rsidR="003B65FC" w:rsidRPr="000D6F12">
        <w:rPr>
          <w:sz w:val="20"/>
          <w:szCs w:val="20"/>
        </w:rPr>
        <w:t xml:space="preserve">Options </w:t>
      </w:r>
      <w:r w:rsidRPr="000D6F12">
        <w:rPr>
          <w:sz w:val="20"/>
          <w:szCs w:val="20"/>
        </w:rPr>
        <w:t xml:space="preserve">markets and </w:t>
      </w:r>
      <w:r w:rsidR="003B65FC" w:rsidRPr="000D6F12">
        <w:rPr>
          <w:sz w:val="20"/>
          <w:szCs w:val="20"/>
        </w:rPr>
        <w:t xml:space="preserve">Credit Derivatives </w:t>
      </w:r>
      <w:r w:rsidRPr="000D6F12">
        <w:rPr>
          <w:sz w:val="20"/>
          <w:szCs w:val="20"/>
        </w:rPr>
        <w:t>and other new product markets such as in the energy and environmental areas.</w:t>
      </w:r>
      <w:r w:rsidR="004D77E9" w:rsidRPr="000D6F12">
        <w:rPr>
          <w:sz w:val="20"/>
          <w:szCs w:val="20"/>
        </w:rPr>
        <w:t xml:space="preserve"> A separate structured finance market had also exploded in size just before the financial crisis in 2008-2009, which included such instruments as Collateralised Debt Obligations (CDOs) and Credit Linked Notes (CLNs), as well as Credit Default Swaps (CDSs) in the credit derivatives area.</w:t>
      </w:r>
    </w:p>
    <w:p w:rsidR="00E3214A" w:rsidRPr="000D6F12" w:rsidRDefault="00E3214A" w:rsidP="006B152C">
      <w:pPr>
        <w:jc w:val="both"/>
        <w:rPr>
          <w:sz w:val="20"/>
          <w:szCs w:val="20"/>
        </w:rPr>
      </w:pPr>
      <w:r w:rsidRPr="000D6F12">
        <w:rPr>
          <w:sz w:val="20"/>
          <w:szCs w:val="20"/>
        </w:rPr>
        <w:t xml:space="preserve">The operation of these markets raises a number of difficult issues especially in terms of </w:t>
      </w:r>
      <w:r w:rsidR="007159E6" w:rsidRPr="000D6F12">
        <w:rPr>
          <w:sz w:val="20"/>
          <w:szCs w:val="20"/>
        </w:rPr>
        <w:t>structure</w:t>
      </w:r>
      <w:r w:rsidRPr="000D6F12">
        <w:rPr>
          <w:sz w:val="20"/>
          <w:szCs w:val="20"/>
        </w:rPr>
        <w:t xml:space="preserve"> and documentation, pricing and disclosure and payment, clearing and settlement. An enormous number of transactions are carried out on a daily basis between a</w:t>
      </w:r>
      <w:r w:rsidR="00D265D6" w:rsidRPr="000D6F12">
        <w:rPr>
          <w:sz w:val="20"/>
          <w:szCs w:val="20"/>
        </w:rPr>
        <w:t xml:space="preserve"> large number of market counter</w:t>
      </w:r>
      <w:r w:rsidRPr="000D6F12">
        <w:rPr>
          <w:sz w:val="20"/>
          <w:szCs w:val="20"/>
        </w:rPr>
        <w:t>parties and end-users. All of the</w:t>
      </w:r>
      <w:r w:rsidR="00D265D6" w:rsidRPr="000D6F12">
        <w:rPr>
          <w:sz w:val="20"/>
          <w:szCs w:val="20"/>
        </w:rPr>
        <w:t>se</w:t>
      </w:r>
      <w:r w:rsidRPr="000D6F12">
        <w:rPr>
          <w:sz w:val="20"/>
          <w:szCs w:val="20"/>
        </w:rPr>
        <w:t xml:space="preserve"> interests have to be respected and </w:t>
      </w:r>
      <w:r w:rsidR="00D265D6" w:rsidRPr="000D6F12">
        <w:rPr>
          <w:sz w:val="20"/>
          <w:szCs w:val="20"/>
        </w:rPr>
        <w:t xml:space="preserve">protected and the stable </w:t>
      </w:r>
      <w:r w:rsidRPr="000D6F12">
        <w:rPr>
          <w:sz w:val="20"/>
          <w:szCs w:val="20"/>
        </w:rPr>
        <w:t xml:space="preserve">operation of the </w:t>
      </w:r>
      <w:r w:rsidR="007159E6" w:rsidRPr="000D6F12">
        <w:rPr>
          <w:sz w:val="20"/>
          <w:szCs w:val="20"/>
        </w:rPr>
        <w:t>markets</w:t>
      </w:r>
      <w:r w:rsidRPr="000D6F12">
        <w:rPr>
          <w:sz w:val="20"/>
          <w:szCs w:val="20"/>
        </w:rPr>
        <w:t xml:space="preserve"> </w:t>
      </w:r>
      <w:r w:rsidR="00D265D6" w:rsidRPr="000D6F12">
        <w:rPr>
          <w:sz w:val="20"/>
          <w:szCs w:val="20"/>
        </w:rPr>
        <w:t>ensured for all users and beneficiaries</w:t>
      </w:r>
      <w:r w:rsidRPr="000D6F12">
        <w:rPr>
          <w:sz w:val="20"/>
          <w:szCs w:val="20"/>
        </w:rPr>
        <w:t>. International finance markets are</w:t>
      </w:r>
      <w:r w:rsidR="004D77E9" w:rsidRPr="000D6F12">
        <w:rPr>
          <w:sz w:val="20"/>
          <w:szCs w:val="20"/>
        </w:rPr>
        <w:t xml:space="preserve">, in practice, </w:t>
      </w:r>
      <w:r w:rsidRPr="000D6F12">
        <w:rPr>
          <w:sz w:val="20"/>
          <w:szCs w:val="20"/>
        </w:rPr>
        <w:t xml:space="preserve">principally managed on an internal market or self-regulatory basis. This is necessary in light </w:t>
      </w:r>
      <w:r w:rsidR="007159E6" w:rsidRPr="000D6F12">
        <w:rPr>
          <w:sz w:val="20"/>
          <w:szCs w:val="20"/>
        </w:rPr>
        <w:t>of</w:t>
      </w:r>
      <w:r w:rsidRPr="000D6F12">
        <w:rPr>
          <w:sz w:val="20"/>
          <w:szCs w:val="20"/>
        </w:rPr>
        <w:t xml:space="preserve"> their size and the absence of any global authority capable of overseeing them. While the main market participants will be regulat</w:t>
      </w:r>
      <w:r w:rsidR="00D265D6" w:rsidRPr="000D6F12">
        <w:rPr>
          <w:sz w:val="20"/>
          <w:szCs w:val="20"/>
        </w:rPr>
        <w:t>ed at the</w:t>
      </w:r>
      <w:r w:rsidRPr="000D6F12">
        <w:rPr>
          <w:sz w:val="20"/>
          <w:szCs w:val="20"/>
        </w:rPr>
        <w:t xml:space="preserve"> domestic level, international contracts themselves are dealt with on </w:t>
      </w:r>
      <w:r w:rsidR="007159E6" w:rsidRPr="000D6F12">
        <w:rPr>
          <w:sz w:val="20"/>
          <w:szCs w:val="20"/>
        </w:rPr>
        <w:t>a private</w:t>
      </w:r>
      <w:r w:rsidRPr="000D6F12">
        <w:rPr>
          <w:sz w:val="20"/>
          <w:szCs w:val="20"/>
        </w:rPr>
        <w:t xml:space="preserve"> law basis using standard documentation prepared by various trade bodies or associations. These include the Loan Market Association (LMA) in the loan area, the International Capital Markets Association (ICMA) in the bond area and International Swaps and Derivatives Association (ISDA) in the derivatives areas. </w:t>
      </w:r>
      <w:r w:rsidR="00741C90" w:rsidRPr="000D6F12">
        <w:rPr>
          <w:sz w:val="20"/>
          <w:szCs w:val="20"/>
        </w:rPr>
        <w:t>Each of t</w:t>
      </w:r>
      <w:r w:rsidRPr="000D6F12">
        <w:rPr>
          <w:sz w:val="20"/>
          <w:szCs w:val="20"/>
        </w:rPr>
        <w:t>hese have produced master documents and agreements which govern the rights and interests of parties in these markets.</w:t>
      </w:r>
    </w:p>
    <w:p w:rsidR="00E3214A" w:rsidRPr="000D6F12" w:rsidRDefault="00E3214A" w:rsidP="006B152C">
      <w:pPr>
        <w:jc w:val="both"/>
        <w:rPr>
          <w:sz w:val="20"/>
          <w:szCs w:val="20"/>
        </w:rPr>
      </w:pPr>
      <w:r w:rsidRPr="000D6F12">
        <w:rPr>
          <w:sz w:val="20"/>
          <w:szCs w:val="20"/>
        </w:rPr>
        <w:t xml:space="preserve">The purpose of this course is to examine the structure and operation of each of the key markets involved. This includes the </w:t>
      </w:r>
      <w:r w:rsidR="007159E6" w:rsidRPr="000D6F12">
        <w:rPr>
          <w:sz w:val="20"/>
          <w:szCs w:val="20"/>
        </w:rPr>
        <w:t>international</w:t>
      </w:r>
      <w:r w:rsidRPr="000D6F12">
        <w:rPr>
          <w:sz w:val="20"/>
          <w:szCs w:val="20"/>
        </w:rPr>
        <w:t xml:space="preserve"> </w:t>
      </w:r>
      <w:r w:rsidR="003C01C8" w:rsidRPr="000D6F12">
        <w:rPr>
          <w:sz w:val="20"/>
          <w:szCs w:val="20"/>
        </w:rPr>
        <w:t>l</w:t>
      </w:r>
      <w:r w:rsidRPr="000D6F12">
        <w:rPr>
          <w:sz w:val="20"/>
          <w:szCs w:val="20"/>
        </w:rPr>
        <w:t xml:space="preserve">oan and </w:t>
      </w:r>
      <w:r w:rsidR="003C01C8" w:rsidRPr="000D6F12">
        <w:rPr>
          <w:sz w:val="20"/>
          <w:szCs w:val="20"/>
        </w:rPr>
        <w:t>b</w:t>
      </w:r>
      <w:r w:rsidRPr="000D6F12">
        <w:rPr>
          <w:sz w:val="20"/>
          <w:szCs w:val="20"/>
        </w:rPr>
        <w:t xml:space="preserve">ond </w:t>
      </w:r>
      <w:r w:rsidR="003C01C8" w:rsidRPr="000D6F12">
        <w:rPr>
          <w:sz w:val="20"/>
          <w:szCs w:val="20"/>
        </w:rPr>
        <w:t>m</w:t>
      </w:r>
      <w:r w:rsidRPr="000D6F12">
        <w:rPr>
          <w:sz w:val="20"/>
          <w:szCs w:val="20"/>
        </w:rPr>
        <w:t xml:space="preserve">arket, </w:t>
      </w:r>
      <w:r w:rsidR="003C01C8" w:rsidRPr="000D6F12">
        <w:rPr>
          <w:sz w:val="20"/>
          <w:szCs w:val="20"/>
        </w:rPr>
        <w:t>p</w:t>
      </w:r>
      <w:r w:rsidRPr="000D6F12">
        <w:rPr>
          <w:sz w:val="20"/>
          <w:szCs w:val="20"/>
        </w:rPr>
        <w:t xml:space="preserve">roject </w:t>
      </w:r>
      <w:r w:rsidR="003C01C8" w:rsidRPr="000D6F12">
        <w:rPr>
          <w:sz w:val="20"/>
          <w:szCs w:val="20"/>
        </w:rPr>
        <w:t>f</w:t>
      </w:r>
      <w:r w:rsidRPr="000D6F12">
        <w:rPr>
          <w:sz w:val="20"/>
          <w:szCs w:val="20"/>
        </w:rPr>
        <w:t xml:space="preserve">inance and </w:t>
      </w:r>
      <w:r w:rsidR="003C01C8" w:rsidRPr="000D6F12">
        <w:rPr>
          <w:sz w:val="20"/>
          <w:szCs w:val="20"/>
        </w:rPr>
        <w:t>s</w:t>
      </w:r>
      <w:r w:rsidRPr="000D6F12">
        <w:rPr>
          <w:sz w:val="20"/>
          <w:szCs w:val="20"/>
        </w:rPr>
        <w:t>ecuritisation markets and der</w:t>
      </w:r>
      <w:r w:rsidR="003C01C8" w:rsidRPr="000D6F12">
        <w:rPr>
          <w:sz w:val="20"/>
          <w:szCs w:val="20"/>
        </w:rPr>
        <w:t xml:space="preserve">ivatives market. </w:t>
      </w:r>
      <w:r w:rsidRPr="000D6F12">
        <w:rPr>
          <w:sz w:val="20"/>
          <w:szCs w:val="20"/>
        </w:rPr>
        <w:t>The standard documentation used is identified.</w:t>
      </w:r>
      <w:r w:rsidR="003C01C8" w:rsidRPr="000D6F12">
        <w:rPr>
          <w:sz w:val="20"/>
          <w:szCs w:val="20"/>
        </w:rPr>
        <w:t xml:space="preserve"> The duties and obligations of each of the parties involved are considered and rights and remedies explained. Relevant regulatory provisions are referred to to the extent relevant. National practices are referred to where appropriate. Recent developments in the markets are also noted where this may be of interest.</w:t>
      </w:r>
    </w:p>
    <w:p w:rsidR="00F71487" w:rsidRPr="00D71316" w:rsidRDefault="00D71316" w:rsidP="006B152C">
      <w:pPr>
        <w:rPr>
          <w:rFonts w:cstheme="minorHAnsi"/>
          <w:sz w:val="20"/>
          <w:szCs w:val="20"/>
        </w:rPr>
      </w:pPr>
      <w:r w:rsidRPr="00D71316">
        <w:rPr>
          <w:rFonts w:cstheme="minorHAnsi"/>
          <w:sz w:val="20"/>
          <w:szCs w:val="20"/>
        </w:rPr>
        <w:t>We very much hope that you enjoy the course.</w:t>
      </w:r>
    </w:p>
    <w:sectPr w:rsidR="00F71487" w:rsidRPr="00D71316" w:rsidSect="00E3731C">
      <w:headerReference w:type="default" r:id="rId11"/>
      <w:foot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BBF" w:rsidRDefault="009F0BBF" w:rsidP="009F0BBF">
      <w:pPr>
        <w:spacing w:after="0" w:line="240" w:lineRule="auto"/>
      </w:pPr>
      <w:r>
        <w:separator/>
      </w:r>
    </w:p>
  </w:endnote>
  <w:endnote w:type="continuationSeparator" w:id="0">
    <w:p w:rsidR="009F0BBF" w:rsidRDefault="009F0BBF" w:rsidP="009F0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661" w:rsidRPr="000D6F12" w:rsidRDefault="00831661" w:rsidP="00831661">
    <w:pPr>
      <w:pStyle w:val="Header"/>
      <w:rPr>
        <w:sz w:val="16"/>
        <w:szCs w:val="16"/>
      </w:rPr>
    </w:pPr>
    <w:r w:rsidRPr="000D6F12">
      <w:rPr>
        <w:rFonts w:ascii="Arial Black" w:hAnsi="Arial Black"/>
        <w:b/>
        <w:sz w:val="16"/>
        <w:szCs w:val="16"/>
      </w:rPr>
      <w:t>INTERNATIONAL FINANC</w:t>
    </w:r>
    <w:r>
      <w:rPr>
        <w:rFonts w:ascii="Arial Black" w:hAnsi="Arial Black"/>
        <w:b/>
        <w:sz w:val="16"/>
        <w:szCs w:val="16"/>
      </w:rPr>
      <w:t>E</w:t>
    </w:r>
    <w:r w:rsidR="00A949B5">
      <w:rPr>
        <w:rFonts w:ascii="Arial Black" w:hAnsi="Arial Black"/>
        <w:b/>
        <w:sz w:val="16"/>
        <w:szCs w:val="16"/>
      </w:rPr>
      <w:t xml:space="preserve"> LAW</w:t>
    </w:r>
  </w:p>
  <w:p w:rsidR="00831661" w:rsidRDefault="008316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BBF" w:rsidRDefault="009F0BBF" w:rsidP="009F0BBF">
      <w:pPr>
        <w:spacing w:after="0" w:line="240" w:lineRule="auto"/>
      </w:pPr>
      <w:r>
        <w:separator/>
      </w:r>
    </w:p>
  </w:footnote>
  <w:footnote w:type="continuationSeparator" w:id="0">
    <w:p w:rsidR="009F0BBF" w:rsidRDefault="009F0BBF" w:rsidP="009F0B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12" w:rsidRDefault="000D6F12" w:rsidP="000D6F12">
    <w:pPr>
      <w:pStyle w:val="Header"/>
      <w:rPr>
        <w:rFonts w:ascii="Arial Black" w:hAnsi="Arial Black"/>
        <w:b/>
        <w:sz w:val="16"/>
        <w:szCs w:val="16"/>
      </w:rPr>
    </w:pPr>
  </w:p>
  <w:p w:rsidR="009F0BBF" w:rsidRPr="000D6F12" w:rsidRDefault="00831661" w:rsidP="000D6F12">
    <w:pPr>
      <w:pStyle w:val="Header"/>
      <w:rPr>
        <w:sz w:val="16"/>
        <w:szCs w:val="16"/>
      </w:rPr>
    </w:pPr>
    <w:r w:rsidRPr="000D6F12">
      <w:rPr>
        <w:rFonts w:ascii="Arial Black" w:hAnsi="Arial Black"/>
        <w:b/>
        <w:sz w:val="16"/>
        <w:szCs w:val="16"/>
      </w:rPr>
      <w:t>INTERNATIONAL FINANC</w:t>
    </w:r>
    <w:r>
      <w:rPr>
        <w:rFonts w:ascii="Arial Black" w:hAnsi="Arial Black"/>
        <w:b/>
        <w:sz w:val="16"/>
        <w:szCs w:val="16"/>
      </w:rPr>
      <w:t>E</w:t>
    </w:r>
    <w:r w:rsidR="00A949B5">
      <w:rPr>
        <w:rFonts w:ascii="Arial Black" w:hAnsi="Arial Black"/>
        <w:b/>
        <w:sz w:val="16"/>
        <w:szCs w:val="16"/>
      </w:rPr>
      <w:t xml:space="preserve"> LAW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970F3E2"/>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E29"/>
    <w:rsid w:val="000916DC"/>
    <w:rsid w:val="000B71DE"/>
    <w:rsid w:val="000D6F12"/>
    <w:rsid w:val="000E619F"/>
    <w:rsid w:val="00104FBE"/>
    <w:rsid w:val="00151839"/>
    <w:rsid w:val="00165547"/>
    <w:rsid w:val="001925CB"/>
    <w:rsid w:val="001B0211"/>
    <w:rsid w:val="00234B2C"/>
    <w:rsid w:val="002A3BC2"/>
    <w:rsid w:val="003A0DB5"/>
    <w:rsid w:val="003A2246"/>
    <w:rsid w:val="003B4CA1"/>
    <w:rsid w:val="003B65FC"/>
    <w:rsid w:val="003C01C8"/>
    <w:rsid w:val="004D77E9"/>
    <w:rsid w:val="004F6720"/>
    <w:rsid w:val="00542713"/>
    <w:rsid w:val="00563FAB"/>
    <w:rsid w:val="005667EE"/>
    <w:rsid w:val="005B7534"/>
    <w:rsid w:val="005F459D"/>
    <w:rsid w:val="006376CA"/>
    <w:rsid w:val="006B152C"/>
    <w:rsid w:val="006E0BCF"/>
    <w:rsid w:val="007159E6"/>
    <w:rsid w:val="00741C90"/>
    <w:rsid w:val="00800651"/>
    <w:rsid w:val="00817C04"/>
    <w:rsid w:val="00831661"/>
    <w:rsid w:val="008E5077"/>
    <w:rsid w:val="009B7E29"/>
    <w:rsid w:val="009F0BBF"/>
    <w:rsid w:val="00A101A1"/>
    <w:rsid w:val="00A949B5"/>
    <w:rsid w:val="00AC0337"/>
    <w:rsid w:val="00C57E6F"/>
    <w:rsid w:val="00CC6311"/>
    <w:rsid w:val="00D265D6"/>
    <w:rsid w:val="00D422DA"/>
    <w:rsid w:val="00D52943"/>
    <w:rsid w:val="00D71208"/>
    <w:rsid w:val="00D71316"/>
    <w:rsid w:val="00DB0ED0"/>
    <w:rsid w:val="00DD1090"/>
    <w:rsid w:val="00E253C9"/>
    <w:rsid w:val="00E3214A"/>
    <w:rsid w:val="00E3731C"/>
    <w:rsid w:val="00EF6BCD"/>
    <w:rsid w:val="00F001F8"/>
    <w:rsid w:val="00F71487"/>
    <w:rsid w:val="00F72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1E5D97-F05A-4679-A6D9-2E4661CDB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F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B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BBF"/>
  </w:style>
  <w:style w:type="paragraph" w:styleId="Footer">
    <w:name w:val="footer"/>
    <w:basedOn w:val="Normal"/>
    <w:link w:val="FooterChar"/>
    <w:uiPriority w:val="99"/>
    <w:unhideWhenUsed/>
    <w:rsid w:val="009F0B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BBF"/>
  </w:style>
  <w:style w:type="paragraph" w:styleId="BalloonText">
    <w:name w:val="Balloon Text"/>
    <w:basedOn w:val="Normal"/>
    <w:link w:val="BalloonTextChar"/>
    <w:uiPriority w:val="99"/>
    <w:semiHidden/>
    <w:unhideWhenUsed/>
    <w:rsid w:val="00D713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316"/>
    <w:rPr>
      <w:rFonts w:ascii="Tahoma" w:hAnsi="Tahoma" w:cs="Tahoma"/>
      <w:sz w:val="16"/>
      <w:szCs w:val="16"/>
    </w:rPr>
  </w:style>
  <w:style w:type="paragraph" w:styleId="ListBullet">
    <w:name w:val="List Bullet"/>
    <w:basedOn w:val="Normal"/>
    <w:uiPriority w:val="99"/>
    <w:unhideWhenUsed/>
    <w:rsid w:val="00D422DA"/>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091C5-2833-4F4B-9CDA-4E5252A94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531</Words>
  <Characters>3032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dc:creator>
  <cp:lastModifiedBy>George Walker</cp:lastModifiedBy>
  <cp:revision>4</cp:revision>
  <cp:lastPrinted>2015-09-15T12:54:00Z</cp:lastPrinted>
  <dcterms:created xsi:type="dcterms:W3CDTF">2020-07-03T18:45:00Z</dcterms:created>
  <dcterms:modified xsi:type="dcterms:W3CDTF">2020-07-03T18:47:00Z</dcterms:modified>
</cp:coreProperties>
</file>