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59" w:rsidRDefault="00A01A59" w:rsidP="00A01A59">
      <w:pPr>
        <w:jc w:val="center"/>
      </w:pPr>
      <w:r w:rsidRPr="00F004E5">
        <w:rPr>
          <w:rFonts w:cs="Calibri"/>
          <w:b/>
          <w:noProof/>
          <w:szCs w:val="22"/>
          <w:lang w:eastAsia="en-GB"/>
        </w:rPr>
        <w:drawing>
          <wp:anchor distT="0" distB="0" distL="114300" distR="114300" simplePos="0" relativeHeight="251659264" behindDoc="1" locked="0" layoutInCell="1" allowOverlap="1" wp14:anchorId="744B6F2B" wp14:editId="0CF4AC7A">
            <wp:simplePos x="0" y="0"/>
            <wp:positionH relativeFrom="margin">
              <wp:posOffset>1468755</wp:posOffset>
            </wp:positionH>
            <wp:positionV relativeFrom="paragraph">
              <wp:posOffset>0</wp:posOffset>
            </wp:positionV>
            <wp:extent cx="3253105" cy="809625"/>
            <wp:effectExtent l="0" t="0" r="4445" b="9525"/>
            <wp:wrapSquare wrapText="bothSides"/>
            <wp:docPr id="1" name="Picture 1" descr="qm logo larg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 logo large 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310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A59" w:rsidRPr="005D7614" w:rsidRDefault="00A01A59" w:rsidP="00A01A59"/>
    <w:p w:rsidR="00A01A59" w:rsidRPr="005D7614" w:rsidRDefault="00A01A59" w:rsidP="00A01A59"/>
    <w:p w:rsidR="00A01A59" w:rsidRPr="005D7614" w:rsidRDefault="00A01A59" w:rsidP="00A01A59"/>
    <w:tbl>
      <w:tblPr>
        <w:tblpPr w:leftFromText="180" w:rightFromText="180" w:vertAnchor="text" w:horzAnchor="margin" w:tblpXSpec="center" w:tblpY="275"/>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3"/>
      </w:tblGrid>
      <w:tr w:rsidR="00A01A59" w:rsidTr="00106235">
        <w:trPr>
          <w:trHeight w:val="1493"/>
        </w:trPr>
        <w:tc>
          <w:tcPr>
            <w:tcW w:w="10763" w:type="dxa"/>
            <w:tcBorders>
              <w:top w:val="nil"/>
              <w:left w:val="nil"/>
              <w:bottom w:val="nil"/>
              <w:right w:val="nil"/>
            </w:tcBorders>
            <w:shd w:val="clear" w:color="auto" w:fill="D3E5F9"/>
            <w:vAlign w:val="center"/>
          </w:tcPr>
          <w:p w:rsidR="00A01A59" w:rsidRDefault="00A01A59" w:rsidP="00106235">
            <w:pPr>
              <w:jc w:val="center"/>
              <w:rPr>
                <w:b/>
                <w:sz w:val="28"/>
                <w:u w:val="single"/>
              </w:rPr>
            </w:pPr>
            <w:r w:rsidRPr="008F275D">
              <w:rPr>
                <w:b/>
                <w:sz w:val="28"/>
                <w:u w:val="single"/>
              </w:rPr>
              <w:t>SCHOOL OF LAW 20</w:t>
            </w:r>
            <w:r>
              <w:rPr>
                <w:b/>
                <w:sz w:val="28"/>
                <w:u w:val="single"/>
              </w:rPr>
              <w:t>2</w:t>
            </w:r>
            <w:r w:rsidR="009270AE">
              <w:rPr>
                <w:b/>
                <w:sz w:val="28"/>
                <w:u w:val="single"/>
              </w:rPr>
              <w:t>3</w:t>
            </w:r>
            <w:r w:rsidRPr="008F275D">
              <w:rPr>
                <w:b/>
                <w:sz w:val="28"/>
                <w:u w:val="single"/>
              </w:rPr>
              <w:t>-202</w:t>
            </w:r>
            <w:r w:rsidR="009270AE">
              <w:rPr>
                <w:b/>
                <w:sz w:val="28"/>
                <w:u w:val="single"/>
              </w:rPr>
              <w:t>4</w:t>
            </w:r>
            <w:r w:rsidRPr="008F275D">
              <w:rPr>
                <w:b/>
                <w:sz w:val="28"/>
                <w:u w:val="single"/>
              </w:rPr>
              <w:t>: LLM MODULE SYLLABUS</w:t>
            </w:r>
          </w:p>
          <w:p w:rsidR="00A01A59" w:rsidRPr="00127F35" w:rsidRDefault="00A01A59" w:rsidP="00106235">
            <w:pPr>
              <w:jc w:val="center"/>
              <w:rPr>
                <w:sz w:val="28"/>
              </w:rPr>
            </w:pPr>
            <w:r w:rsidRPr="00127F35">
              <w:rPr>
                <w:sz w:val="28"/>
              </w:rPr>
              <w:t xml:space="preserve">Teaching in </w:t>
            </w:r>
            <w:r>
              <w:rPr>
                <w:sz w:val="28"/>
              </w:rPr>
              <w:t xml:space="preserve">A20 and B20 is in two </w:t>
            </w:r>
            <w:r w:rsidRPr="00127F35">
              <w:rPr>
                <w:sz w:val="28"/>
              </w:rPr>
              <w:t>5 week blocks</w:t>
            </w:r>
            <w:r>
              <w:rPr>
                <w:sz w:val="28"/>
              </w:rPr>
              <w:t xml:space="preserve"> with study week between them.</w:t>
            </w:r>
          </w:p>
          <w:p w:rsidR="00A01A59" w:rsidRDefault="00A01A59" w:rsidP="00106235">
            <w:pPr>
              <w:jc w:val="center"/>
              <w:rPr>
                <w:sz w:val="28"/>
              </w:rPr>
            </w:pPr>
            <w:r w:rsidRPr="007A4954">
              <w:rPr>
                <w:sz w:val="28"/>
              </w:rPr>
              <w:t xml:space="preserve">30 credits </w:t>
            </w:r>
            <w:r>
              <w:rPr>
                <w:sz w:val="28"/>
              </w:rPr>
              <w:t xml:space="preserve">are </w:t>
            </w:r>
            <w:r w:rsidRPr="007A4954">
              <w:rPr>
                <w:sz w:val="28"/>
              </w:rPr>
              <w:t xml:space="preserve">taught </w:t>
            </w:r>
            <w:r>
              <w:rPr>
                <w:sz w:val="28"/>
              </w:rPr>
              <w:t>within a single semester (10 weeks)</w:t>
            </w:r>
          </w:p>
          <w:p w:rsidR="00A01A59" w:rsidRPr="007A4954" w:rsidRDefault="00A01A59" w:rsidP="00106235">
            <w:pPr>
              <w:jc w:val="center"/>
              <w:rPr>
                <w:sz w:val="28"/>
              </w:rPr>
            </w:pPr>
            <w:r>
              <w:rPr>
                <w:sz w:val="28"/>
              </w:rPr>
              <w:t>Study Week falls within the two blocks (limited teaching/events/tutorials etc.)</w:t>
            </w:r>
          </w:p>
          <w:p w:rsidR="00A01A59" w:rsidRPr="008F275D" w:rsidRDefault="00A01A59" w:rsidP="00106235">
            <w:pPr>
              <w:jc w:val="center"/>
              <w:rPr>
                <w:b/>
                <w:u w:val="single"/>
              </w:rPr>
            </w:pPr>
          </w:p>
        </w:tc>
      </w:tr>
    </w:tbl>
    <w:p w:rsidR="00A01A59" w:rsidRDefault="00A01A59" w:rsidP="00A01A59">
      <w:pPr>
        <w:tabs>
          <w:tab w:val="left" w:pos="1155"/>
        </w:tabs>
      </w:pPr>
    </w:p>
    <w:tbl>
      <w:tblPr>
        <w:tblStyle w:val="TableGrid"/>
        <w:tblpPr w:leftFromText="180" w:rightFromText="180" w:vertAnchor="text" w:horzAnchor="margin" w:tblpXSpec="center" w:tblpY="2158"/>
        <w:tblW w:w="10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27"/>
        <w:gridCol w:w="5254"/>
      </w:tblGrid>
      <w:tr w:rsidR="00A01A59" w:rsidTr="003F6919">
        <w:trPr>
          <w:trHeight w:val="277"/>
        </w:trPr>
        <w:tc>
          <w:tcPr>
            <w:tcW w:w="5227"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B7381E" w:rsidRDefault="00A01A59" w:rsidP="00106235">
            <w:pPr>
              <w:rPr>
                <w:b/>
              </w:rPr>
            </w:pPr>
            <w:r w:rsidRPr="00B7381E">
              <w:rPr>
                <w:b/>
              </w:rPr>
              <w:t>Module Code:</w:t>
            </w:r>
          </w:p>
        </w:tc>
        <w:tc>
          <w:tcPr>
            <w:tcW w:w="5254"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6B3E97" w:rsidRDefault="003A349C" w:rsidP="00A01A59">
            <w:pPr>
              <w:rPr>
                <w:rFonts w:ascii="Arial Black" w:hAnsi="Arial Black"/>
                <w:color w:val="FF0000"/>
                <w:sz w:val="20"/>
                <w:szCs w:val="20"/>
              </w:rPr>
            </w:pPr>
            <w:r w:rsidRPr="006B3E97">
              <w:rPr>
                <w:rFonts w:ascii="Arial Black" w:hAnsi="Arial Black"/>
                <w:sz w:val="20"/>
                <w:szCs w:val="20"/>
              </w:rPr>
              <w:t>SOLM</w:t>
            </w:r>
            <w:r w:rsidR="006B3E97" w:rsidRPr="006B3E97">
              <w:rPr>
                <w:rFonts w:ascii="Arial Black" w:hAnsi="Arial Black"/>
                <w:sz w:val="20"/>
                <w:szCs w:val="20"/>
              </w:rPr>
              <w:t>005</w:t>
            </w:r>
            <w:r w:rsidR="00BE01A8" w:rsidRPr="006B3E97">
              <w:rPr>
                <w:rFonts w:ascii="Arial Black" w:hAnsi="Arial Black"/>
                <w:sz w:val="20"/>
                <w:szCs w:val="20"/>
              </w:rPr>
              <w:t xml:space="preserve"> </w:t>
            </w:r>
          </w:p>
        </w:tc>
      </w:tr>
      <w:tr w:rsidR="00A01A59" w:rsidTr="00106235">
        <w:trPr>
          <w:trHeight w:val="461"/>
        </w:trPr>
        <w:tc>
          <w:tcPr>
            <w:tcW w:w="5227"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B7381E" w:rsidRDefault="00A01A59" w:rsidP="00106235">
            <w:pPr>
              <w:jc w:val="both"/>
              <w:rPr>
                <w:b/>
              </w:rPr>
            </w:pPr>
            <w:r w:rsidRPr="00B7381E">
              <w:rPr>
                <w:b/>
              </w:rPr>
              <w:t>Module Title</w:t>
            </w:r>
            <w:r>
              <w:rPr>
                <w:b/>
              </w:rPr>
              <w:t>:</w:t>
            </w:r>
          </w:p>
        </w:tc>
        <w:tc>
          <w:tcPr>
            <w:tcW w:w="5254"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6B3E97" w:rsidRDefault="00BE01A8" w:rsidP="00106235">
            <w:pPr>
              <w:rPr>
                <w:rFonts w:ascii="Arial Black" w:hAnsi="Arial Black"/>
                <w:sz w:val="20"/>
                <w:szCs w:val="20"/>
              </w:rPr>
            </w:pPr>
            <w:r w:rsidRPr="006B3E97">
              <w:rPr>
                <w:rFonts w:ascii="Arial Black" w:hAnsi="Arial Black"/>
                <w:sz w:val="20"/>
                <w:szCs w:val="20"/>
              </w:rPr>
              <w:t>International</w:t>
            </w:r>
            <w:r w:rsidR="006B3E97" w:rsidRPr="006B3E97">
              <w:rPr>
                <w:rFonts w:ascii="Arial Black" w:hAnsi="Arial Black"/>
                <w:sz w:val="20"/>
                <w:szCs w:val="20"/>
              </w:rPr>
              <w:t xml:space="preserve"> Finance Law</w:t>
            </w:r>
            <w:r w:rsidR="00D97085">
              <w:rPr>
                <w:rFonts w:ascii="Arial Black" w:hAnsi="Arial Black"/>
                <w:sz w:val="20"/>
                <w:szCs w:val="20"/>
              </w:rPr>
              <w:t xml:space="preserve"> (IFLaw)</w:t>
            </w:r>
          </w:p>
        </w:tc>
      </w:tr>
      <w:tr w:rsidR="00A01A59" w:rsidTr="00106235">
        <w:trPr>
          <w:trHeight w:val="461"/>
        </w:trPr>
        <w:tc>
          <w:tcPr>
            <w:tcW w:w="5227"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B7381E" w:rsidRDefault="00A01A59" w:rsidP="00106235">
            <w:pPr>
              <w:jc w:val="both"/>
              <w:rPr>
                <w:b/>
              </w:rPr>
            </w:pPr>
          </w:p>
        </w:tc>
        <w:tc>
          <w:tcPr>
            <w:tcW w:w="5254"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A34A7E" w:rsidRDefault="003F6919" w:rsidP="00106235">
            <w:pPr>
              <w:rPr>
                <w:b/>
                <w:i/>
              </w:rPr>
            </w:pPr>
            <w:r w:rsidRPr="00A34A7E">
              <w:rPr>
                <w:b/>
                <w:i/>
              </w:rPr>
              <w:t>C</w:t>
            </w:r>
            <w:r w:rsidR="00A01A59" w:rsidRPr="00A34A7E">
              <w:rPr>
                <w:b/>
                <w:i/>
              </w:rPr>
              <w:t>redits</w:t>
            </w:r>
            <w:r w:rsidRPr="00A34A7E">
              <w:rPr>
                <w:b/>
                <w:i/>
              </w:rPr>
              <w:t xml:space="preserve"> 30</w:t>
            </w:r>
          </w:p>
        </w:tc>
      </w:tr>
      <w:tr w:rsidR="00A01A59" w:rsidTr="00106235">
        <w:trPr>
          <w:trHeight w:val="461"/>
        </w:trPr>
        <w:tc>
          <w:tcPr>
            <w:tcW w:w="5227"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B7381E" w:rsidRDefault="00A01A59" w:rsidP="00106235">
            <w:pPr>
              <w:jc w:val="both"/>
              <w:rPr>
                <w:b/>
              </w:rPr>
            </w:pPr>
            <w:r w:rsidRPr="00B7381E">
              <w:rPr>
                <w:b/>
              </w:rPr>
              <w:t>Semester</w:t>
            </w:r>
            <w:r>
              <w:rPr>
                <w:b/>
              </w:rPr>
              <w:t xml:space="preserve"> and Block</w:t>
            </w:r>
            <w:r w:rsidRPr="00B7381E">
              <w:rPr>
                <w:b/>
              </w:rPr>
              <w:t xml:space="preserve"> Taught:</w:t>
            </w:r>
          </w:p>
        </w:tc>
        <w:tc>
          <w:tcPr>
            <w:tcW w:w="5254"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3F6919" w:rsidRDefault="00A01A59" w:rsidP="004726D3">
            <w:pPr>
              <w:rPr>
                <w:b/>
                <w:i/>
              </w:rPr>
            </w:pPr>
            <w:r w:rsidRPr="00A01A59">
              <w:rPr>
                <w:b/>
                <w:i/>
              </w:rPr>
              <w:t>Semester:</w:t>
            </w:r>
            <w:r w:rsidRPr="00A01A59">
              <w:rPr>
                <w:i/>
              </w:rPr>
              <w:t xml:space="preserve"> </w:t>
            </w:r>
            <w:r w:rsidR="004726D3">
              <w:rPr>
                <w:b/>
                <w:i/>
              </w:rPr>
              <w:t>A</w:t>
            </w:r>
            <w:r w:rsidRPr="00A01A59">
              <w:rPr>
                <w:i/>
              </w:rPr>
              <w:t xml:space="preserve">                          </w:t>
            </w:r>
            <w:r w:rsidRPr="00A01A59">
              <w:rPr>
                <w:b/>
                <w:i/>
              </w:rPr>
              <w:t>Block:</w:t>
            </w:r>
            <w:r w:rsidR="004726D3">
              <w:rPr>
                <w:b/>
                <w:i/>
              </w:rPr>
              <w:t xml:space="preserve"> A &amp; B</w:t>
            </w:r>
          </w:p>
        </w:tc>
      </w:tr>
      <w:tr w:rsidR="00A01A59" w:rsidTr="00106235">
        <w:trPr>
          <w:trHeight w:val="1282"/>
        </w:trPr>
        <w:tc>
          <w:tcPr>
            <w:tcW w:w="5227"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B7381E" w:rsidRDefault="00A01A59" w:rsidP="00106235">
            <w:pPr>
              <w:jc w:val="both"/>
              <w:rPr>
                <w:b/>
              </w:rPr>
            </w:pPr>
            <w:r w:rsidRPr="00B7381E">
              <w:rPr>
                <w:b/>
              </w:rPr>
              <w:t>Module Convenor:</w:t>
            </w:r>
          </w:p>
        </w:tc>
        <w:tc>
          <w:tcPr>
            <w:tcW w:w="5254"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A01A59" w:rsidRDefault="00A01A59" w:rsidP="00106235">
            <w:pPr>
              <w:rPr>
                <w:i/>
              </w:rPr>
            </w:pPr>
            <w:r w:rsidRPr="00A34A7E">
              <w:rPr>
                <w:b/>
                <w:i/>
              </w:rPr>
              <w:t>NAME</w:t>
            </w:r>
            <w:r w:rsidRPr="00A01A59">
              <w:rPr>
                <w:i/>
              </w:rPr>
              <w:t xml:space="preserve">: </w:t>
            </w:r>
            <w:r w:rsidR="006B3E97">
              <w:rPr>
                <w:rFonts w:ascii="Arial Black" w:hAnsi="Arial Black"/>
                <w:sz w:val="20"/>
                <w:szCs w:val="20"/>
              </w:rPr>
              <w:t xml:space="preserve"> Professor G A Walker</w:t>
            </w:r>
            <w:r w:rsidR="006B3E97">
              <w:rPr>
                <w:i/>
              </w:rPr>
              <w:t xml:space="preserve"> </w:t>
            </w:r>
            <w:r w:rsidR="00691C95">
              <w:rPr>
                <w:i/>
              </w:rPr>
              <w:t xml:space="preserve"> </w:t>
            </w:r>
          </w:p>
          <w:p w:rsidR="00A01A59" w:rsidRPr="006B3E97" w:rsidRDefault="00A01A59" w:rsidP="00106235">
            <w:pPr>
              <w:rPr>
                <w:i/>
              </w:rPr>
            </w:pPr>
            <w:r w:rsidRPr="00A34A7E">
              <w:rPr>
                <w:b/>
                <w:i/>
              </w:rPr>
              <w:t>EMAIL</w:t>
            </w:r>
            <w:r w:rsidRPr="00A01A59">
              <w:rPr>
                <w:i/>
              </w:rPr>
              <w:t xml:space="preserve"> </w:t>
            </w:r>
            <w:r w:rsidRPr="00A34A7E">
              <w:rPr>
                <w:b/>
                <w:i/>
              </w:rPr>
              <w:t>ADDRESS</w:t>
            </w:r>
            <w:r w:rsidRPr="00A01A59">
              <w:rPr>
                <w:i/>
              </w:rPr>
              <w:t xml:space="preserve">: </w:t>
            </w:r>
            <w:r w:rsidR="00691C95">
              <w:t xml:space="preserve"> </w:t>
            </w:r>
            <w:r w:rsidR="006B3E97">
              <w:rPr>
                <w:rFonts w:ascii="Arial Black" w:hAnsi="Arial Black"/>
                <w:sz w:val="20"/>
                <w:szCs w:val="20"/>
              </w:rPr>
              <w:t xml:space="preserve"> </w:t>
            </w:r>
            <w:sdt>
              <w:sdtPr>
                <w:rPr>
                  <w:rFonts w:ascii="Arial Black" w:hAnsi="Arial Black"/>
                  <w:sz w:val="20"/>
                  <w:szCs w:val="20"/>
                </w:rPr>
                <w:tag w:val="goog_rdk_18"/>
                <w:id w:val="1105455552"/>
              </w:sdtPr>
              <w:sdtEndPr/>
              <w:sdtContent>
                <w:hyperlink r:id="rId7" w:history="1">
                  <w:r w:rsidR="006B3E97">
                    <w:rPr>
                      <w:rStyle w:val="Hyperlink"/>
                      <w:rFonts w:ascii="Arial Black" w:eastAsia="Helvetica Neue" w:hAnsi="Arial Black" w:cs="Helvetica Neue"/>
                      <w:sz w:val="20"/>
                      <w:szCs w:val="20"/>
                      <w:highlight w:val="white"/>
                    </w:rPr>
                    <w:t>g.a.walker@qmul.ac.uk</w:t>
                  </w:r>
                </w:hyperlink>
              </w:sdtContent>
            </w:sdt>
          </w:p>
          <w:p w:rsidR="00A01A59" w:rsidRPr="00A01A59" w:rsidRDefault="00A01A59" w:rsidP="00106235"/>
        </w:tc>
      </w:tr>
      <w:tr w:rsidR="00A01A59" w:rsidTr="00106235">
        <w:trPr>
          <w:trHeight w:val="461"/>
        </w:trPr>
        <w:tc>
          <w:tcPr>
            <w:tcW w:w="5227"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B7381E" w:rsidRDefault="00A01A59" w:rsidP="00106235">
            <w:pPr>
              <w:jc w:val="both"/>
              <w:rPr>
                <w:b/>
              </w:rPr>
            </w:pPr>
            <w:r w:rsidRPr="00B7381E">
              <w:rPr>
                <w:b/>
              </w:rPr>
              <w:t>Assessment:</w:t>
            </w:r>
          </w:p>
        </w:tc>
        <w:tc>
          <w:tcPr>
            <w:tcW w:w="5254"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3A349C" w:rsidRDefault="00A01A59" w:rsidP="001C5058">
            <w:pPr>
              <w:rPr>
                <w:rFonts w:asciiTheme="minorHAnsi" w:hAnsiTheme="minorHAnsi" w:cstheme="minorHAnsi"/>
              </w:rPr>
            </w:pPr>
            <w:r>
              <w:rPr>
                <w:rFonts w:asciiTheme="minorHAnsi" w:eastAsiaTheme="minorHAnsi" w:hAnsiTheme="minorHAnsi"/>
                <w:b/>
                <w:color w:val="000000"/>
              </w:rPr>
              <w:t>Online Exam</w:t>
            </w:r>
            <w:r w:rsidR="009270AE">
              <w:rPr>
                <w:rFonts w:asciiTheme="minorHAnsi" w:hAnsiTheme="minorHAnsi" w:cstheme="minorHAnsi"/>
              </w:rPr>
              <w:t xml:space="preserve">: </w:t>
            </w:r>
            <w:r w:rsidR="009270AE" w:rsidRPr="00A34A7E">
              <w:rPr>
                <w:rFonts w:asciiTheme="minorHAnsi" w:hAnsiTheme="minorHAnsi" w:cstheme="minorHAnsi"/>
                <w:b/>
              </w:rPr>
              <w:t>January</w:t>
            </w:r>
            <w:r w:rsidR="009270AE">
              <w:rPr>
                <w:rFonts w:asciiTheme="minorHAnsi" w:hAnsiTheme="minorHAnsi" w:cstheme="minorHAnsi"/>
              </w:rPr>
              <w:t xml:space="preserve"> </w:t>
            </w:r>
            <w:r w:rsidR="009270AE" w:rsidRPr="00A34A7E">
              <w:rPr>
                <w:rFonts w:asciiTheme="minorHAnsi" w:hAnsiTheme="minorHAnsi" w:cstheme="minorHAnsi"/>
                <w:b/>
              </w:rPr>
              <w:t>2024</w:t>
            </w:r>
          </w:p>
        </w:tc>
      </w:tr>
      <w:tr w:rsidR="00DE21D9" w:rsidTr="00106235">
        <w:trPr>
          <w:trHeight w:val="461"/>
        </w:trPr>
        <w:tc>
          <w:tcPr>
            <w:tcW w:w="5227" w:type="dxa"/>
            <w:tcBorders>
              <w:top w:val="dotted" w:sz="4" w:space="0" w:color="auto"/>
              <w:left w:val="dotted" w:sz="4" w:space="0" w:color="auto"/>
              <w:bottom w:val="dotted" w:sz="4" w:space="0" w:color="auto"/>
              <w:right w:val="dotted" w:sz="4" w:space="0" w:color="auto"/>
            </w:tcBorders>
            <w:shd w:val="clear" w:color="auto" w:fill="FFFFFF" w:themeFill="background1"/>
          </w:tcPr>
          <w:p w:rsidR="00DE21D9" w:rsidRDefault="00DE21D9" w:rsidP="00106235">
            <w:pPr>
              <w:jc w:val="both"/>
              <w:rPr>
                <w:b/>
              </w:rPr>
            </w:pPr>
            <w:r>
              <w:rPr>
                <w:b/>
              </w:rPr>
              <w:t>Time and venue of class:</w:t>
            </w:r>
          </w:p>
        </w:tc>
        <w:tc>
          <w:tcPr>
            <w:tcW w:w="5254" w:type="dxa"/>
            <w:tcBorders>
              <w:top w:val="dotted" w:sz="4" w:space="0" w:color="auto"/>
              <w:left w:val="dotted" w:sz="4" w:space="0" w:color="auto"/>
              <w:bottom w:val="dotted" w:sz="4" w:space="0" w:color="auto"/>
              <w:right w:val="dotted" w:sz="4" w:space="0" w:color="auto"/>
            </w:tcBorders>
            <w:shd w:val="clear" w:color="auto" w:fill="FFFFFF" w:themeFill="background1"/>
          </w:tcPr>
          <w:p w:rsidR="00DE21D9" w:rsidRPr="00A34A7E" w:rsidRDefault="00DE21D9" w:rsidP="00106235">
            <w:pPr>
              <w:pStyle w:val="NoSpacing"/>
              <w:rPr>
                <w:rFonts w:cs="Calibri"/>
                <w:b/>
                <w:i/>
                <w:szCs w:val="22"/>
              </w:rPr>
            </w:pPr>
            <w:r w:rsidRPr="00A34A7E">
              <w:rPr>
                <w:rFonts w:cs="Calibri"/>
                <w:b/>
                <w:i/>
                <w:szCs w:val="22"/>
              </w:rPr>
              <w:t>See teaching timetable</w:t>
            </w:r>
          </w:p>
        </w:tc>
      </w:tr>
      <w:tr w:rsidR="00A01A59" w:rsidTr="00106235">
        <w:trPr>
          <w:trHeight w:val="461"/>
        </w:trPr>
        <w:tc>
          <w:tcPr>
            <w:tcW w:w="5227"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B7381E" w:rsidRDefault="00A01A59" w:rsidP="00106235">
            <w:pPr>
              <w:jc w:val="both"/>
              <w:rPr>
                <w:b/>
              </w:rPr>
            </w:pPr>
            <w:r>
              <w:rPr>
                <w:b/>
              </w:rPr>
              <w:t xml:space="preserve">Small Group Teaching: </w:t>
            </w:r>
          </w:p>
        </w:tc>
        <w:tc>
          <w:tcPr>
            <w:tcW w:w="5254"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A34A7E" w:rsidRDefault="00A01A59" w:rsidP="004726D3">
            <w:pPr>
              <w:pStyle w:val="NoSpacing"/>
              <w:rPr>
                <w:rFonts w:cs="Calibri"/>
                <w:b/>
                <w:i/>
                <w:color w:val="FF0000"/>
                <w:szCs w:val="22"/>
              </w:rPr>
            </w:pPr>
            <w:r w:rsidRPr="00A34A7E">
              <w:rPr>
                <w:rFonts w:cs="Calibri"/>
                <w:b/>
                <w:i/>
                <w:szCs w:val="22"/>
              </w:rPr>
              <w:t>30 credit</w:t>
            </w:r>
            <w:r w:rsidR="004726D3" w:rsidRPr="00A34A7E">
              <w:rPr>
                <w:rFonts w:cs="Calibri"/>
                <w:b/>
                <w:i/>
                <w:szCs w:val="22"/>
              </w:rPr>
              <w:t xml:space="preserve"> courses </w:t>
            </w:r>
            <w:r w:rsidRPr="00A34A7E">
              <w:rPr>
                <w:rFonts w:cs="Calibri"/>
                <w:b/>
                <w:i/>
                <w:szCs w:val="22"/>
              </w:rPr>
              <w:t>will have 4</w:t>
            </w:r>
            <w:r w:rsidR="00A12D6D" w:rsidRPr="00444CA9">
              <w:rPr>
                <w:rFonts w:cs="Calibri"/>
                <w:b/>
                <w:i/>
                <w:szCs w:val="22"/>
              </w:rPr>
              <w:t xml:space="preserve"> additional classes</w:t>
            </w:r>
            <w:r w:rsidRPr="00A34A7E">
              <w:rPr>
                <w:rFonts w:cs="Calibri"/>
                <w:b/>
                <w:i/>
                <w:szCs w:val="22"/>
              </w:rPr>
              <w:t xml:space="preserve">.  They will be offered on alternate weeks - either face to face or online depending on your method of study.  See timetable for applicable dates for your module. </w:t>
            </w:r>
          </w:p>
        </w:tc>
      </w:tr>
      <w:tr w:rsidR="00A01A59" w:rsidTr="00106235">
        <w:trPr>
          <w:trHeight w:val="1292"/>
        </w:trPr>
        <w:tc>
          <w:tcPr>
            <w:tcW w:w="5227"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Default="00A01A59" w:rsidP="00106235">
            <w:pPr>
              <w:jc w:val="both"/>
              <w:rPr>
                <w:b/>
              </w:rPr>
            </w:pPr>
            <w:r>
              <w:rPr>
                <w:b/>
              </w:rPr>
              <w:t>Additional Module Information:</w:t>
            </w:r>
          </w:p>
        </w:tc>
        <w:tc>
          <w:tcPr>
            <w:tcW w:w="5254"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A34A7E" w:rsidRDefault="00A32CBE" w:rsidP="00106235">
            <w:pPr>
              <w:pStyle w:val="NoSpacing"/>
              <w:rPr>
                <w:rFonts w:cs="Calibri"/>
                <w:b/>
                <w:i/>
                <w:color w:val="FF0000"/>
                <w:szCs w:val="22"/>
              </w:rPr>
            </w:pPr>
            <w:r w:rsidRPr="00A34A7E">
              <w:rPr>
                <w:rFonts w:cs="Calibri"/>
                <w:b/>
                <w:i/>
                <w:szCs w:val="22"/>
              </w:rPr>
              <w:t>NA</w:t>
            </w:r>
          </w:p>
        </w:tc>
      </w:tr>
    </w:tbl>
    <w:p w:rsidR="003A349C" w:rsidRPr="00B7381E" w:rsidRDefault="003A349C" w:rsidP="00A01A59"/>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A01A59" w:rsidTr="00106235">
        <w:trPr>
          <w:trHeight w:val="170"/>
        </w:trPr>
        <w:tc>
          <w:tcPr>
            <w:tcW w:w="10748" w:type="dxa"/>
            <w:tcBorders>
              <w:top w:val="nil"/>
              <w:left w:val="nil"/>
              <w:bottom w:val="nil"/>
              <w:right w:val="nil"/>
            </w:tcBorders>
            <w:shd w:val="clear" w:color="auto" w:fill="D3E5F9"/>
            <w:vAlign w:val="center"/>
          </w:tcPr>
          <w:p w:rsidR="00A01A59" w:rsidRPr="00BB03C8" w:rsidRDefault="00A01A59" w:rsidP="00106235">
            <w:pPr>
              <w:jc w:val="center"/>
              <w:rPr>
                <w:b/>
              </w:rPr>
            </w:pPr>
            <w:r w:rsidRPr="00BB03C8">
              <w:rPr>
                <w:b/>
                <w:sz w:val="24"/>
              </w:rPr>
              <w:t>Teaching Team and Contact Details</w:t>
            </w:r>
          </w:p>
        </w:tc>
      </w:tr>
    </w:tbl>
    <w:tbl>
      <w:tblPr>
        <w:tblStyle w:val="TableGrid"/>
        <w:tblpPr w:leftFromText="180" w:rightFromText="180" w:vertAnchor="text" w:horzAnchor="margin" w:tblpXSpec="center" w:tblpY="502"/>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302"/>
        <w:gridCol w:w="5330"/>
      </w:tblGrid>
      <w:tr w:rsidR="00A01A59" w:rsidTr="00106235">
        <w:trPr>
          <w:trHeight w:val="510"/>
        </w:trPr>
        <w:tc>
          <w:tcPr>
            <w:tcW w:w="5302" w:type="dxa"/>
            <w:tcBorders>
              <w:top w:val="dotted" w:sz="4" w:space="0" w:color="auto"/>
              <w:left w:val="dotted" w:sz="4" w:space="0" w:color="auto"/>
              <w:bottom w:val="dotted" w:sz="4" w:space="0" w:color="auto"/>
              <w:right w:val="dotted" w:sz="4" w:space="0" w:color="auto"/>
            </w:tcBorders>
            <w:shd w:val="clear" w:color="auto" w:fill="FFFFFF" w:themeFill="background1"/>
          </w:tcPr>
          <w:sdt>
            <w:sdtPr>
              <w:rPr>
                <w:rFonts w:ascii="Arial Black" w:hAnsi="Arial Black"/>
                <w:sz w:val="20"/>
                <w:szCs w:val="20"/>
              </w:rPr>
              <w:tag w:val="goog_rdk_17"/>
              <w:id w:val="-582065435"/>
            </w:sdtPr>
            <w:sdtEndPr/>
            <w:sdtContent>
              <w:p w:rsidR="006B3E97" w:rsidRDefault="006B3E97" w:rsidP="006B3E97">
                <w:pPr>
                  <w:spacing w:after="0"/>
                  <w:rPr>
                    <w:rFonts w:ascii="Arial Black" w:hAnsi="Arial Black"/>
                    <w:sz w:val="20"/>
                    <w:szCs w:val="20"/>
                  </w:rPr>
                </w:pPr>
                <w:r>
                  <w:rPr>
                    <w:rFonts w:ascii="Arial Black" w:hAnsi="Arial Black"/>
                    <w:sz w:val="20"/>
                    <w:szCs w:val="20"/>
                  </w:rPr>
                  <w:t xml:space="preserve">Professor </w:t>
                </w:r>
                <w:r>
                  <w:rPr>
                    <w:rFonts w:ascii="Arial Black" w:eastAsia="Helvetica Neue" w:hAnsi="Arial Black" w:cs="Helvetica Neue"/>
                    <w:color w:val="000000"/>
                    <w:sz w:val="20"/>
                    <w:szCs w:val="20"/>
                    <w:highlight w:val="white"/>
                  </w:rPr>
                  <w:t>G A Walker</w:t>
                </w:r>
              </w:p>
            </w:sdtContent>
          </w:sdt>
          <w:p w:rsidR="00A01A59" w:rsidRPr="008B6EEE" w:rsidRDefault="00A01A59" w:rsidP="00106235"/>
        </w:tc>
        <w:tc>
          <w:tcPr>
            <w:tcW w:w="5330"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7A7AA9" w:rsidRDefault="00AA6F8E" w:rsidP="00106235">
            <w:pPr>
              <w:rPr>
                <w:i/>
                <w:color w:val="FF0000"/>
              </w:rPr>
            </w:pPr>
            <w:hyperlink r:id="rId8" w:history="1">
              <w:r w:rsidR="006B3E97">
                <w:rPr>
                  <w:rStyle w:val="Hyperlink"/>
                  <w:rFonts w:ascii="Arial Black" w:hAnsi="Arial Black"/>
                  <w:sz w:val="20"/>
                  <w:szCs w:val="20"/>
                </w:rPr>
                <w:t>g.a.walker@qmul.ac.uk</w:t>
              </w:r>
            </w:hyperlink>
          </w:p>
          <w:sdt>
            <w:sdtPr>
              <w:rPr>
                <w:rFonts w:ascii="Arial Black" w:hAnsi="Arial Black"/>
                <w:sz w:val="20"/>
                <w:szCs w:val="20"/>
              </w:rPr>
              <w:tag w:val="goog_rdk_37"/>
              <w:id w:val="-2066482890"/>
            </w:sdtPr>
            <w:sdtEndPr/>
            <w:sdtContent>
              <w:p w:rsidR="00A01A59" w:rsidRPr="006B3E97" w:rsidRDefault="006B3E97" w:rsidP="006B3E97">
                <w:pPr>
                  <w:spacing w:after="0"/>
                  <w:rPr>
                    <w:rFonts w:ascii="Arial Black" w:hAnsi="Arial Black"/>
                    <w:sz w:val="20"/>
                    <w:szCs w:val="20"/>
                  </w:rPr>
                </w:pPr>
                <w:r>
                  <w:rPr>
                    <w:rFonts w:ascii="Arial Black" w:hAnsi="Arial Black"/>
                    <w:sz w:val="20"/>
                    <w:szCs w:val="20"/>
                  </w:rPr>
                  <w:t>0207 882 8087</w:t>
                </w:r>
              </w:p>
            </w:sdtContent>
          </w:sdt>
          <w:p w:rsidR="00A01A59" w:rsidRPr="00B7381E" w:rsidRDefault="00A01A59" w:rsidP="00106235">
            <w:pPr>
              <w:rPr>
                <w:color w:val="FF0000"/>
              </w:rPr>
            </w:pPr>
          </w:p>
        </w:tc>
      </w:tr>
      <w:tr w:rsidR="00A01A59" w:rsidTr="00106235">
        <w:trPr>
          <w:trHeight w:val="510"/>
        </w:trPr>
        <w:tc>
          <w:tcPr>
            <w:tcW w:w="5302"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B7381E" w:rsidRDefault="006B3E97" w:rsidP="00106235">
            <w:pPr>
              <w:jc w:val="both"/>
              <w:rPr>
                <w:b/>
              </w:rPr>
            </w:pPr>
            <w:r>
              <w:rPr>
                <w:rFonts w:ascii="Arial Black" w:hAnsi="Arial Black"/>
                <w:sz w:val="20"/>
                <w:szCs w:val="20"/>
              </w:rPr>
              <w:t>Professor Graham Roberts</w:t>
            </w:r>
          </w:p>
        </w:tc>
        <w:tc>
          <w:tcPr>
            <w:tcW w:w="5330"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Default="00AA6F8E" w:rsidP="00106235">
            <w:pPr>
              <w:rPr>
                <w:rStyle w:val="Hyperlink"/>
                <w:rFonts w:ascii="Arial Black" w:hAnsi="Arial Black"/>
                <w:sz w:val="20"/>
                <w:szCs w:val="20"/>
              </w:rPr>
            </w:pPr>
            <w:hyperlink r:id="rId9" w:history="1">
              <w:r w:rsidR="006B3E97">
                <w:rPr>
                  <w:rStyle w:val="Hyperlink"/>
                  <w:rFonts w:ascii="Arial Black" w:hAnsi="Arial Black"/>
                  <w:sz w:val="20"/>
                  <w:szCs w:val="20"/>
                </w:rPr>
                <w:t>g.roberts@qmul.ac.uk</w:t>
              </w:r>
            </w:hyperlink>
          </w:p>
          <w:p w:rsidR="00A01A59" w:rsidRPr="007A7AA9" w:rsidRDefault="006B3E97" w:rsidP="00106235">
            <w:pPr>
              <w:rPr>
                <w:i/>
                <w:color w:val="FF0000"/>
              </w:rPr>
            </w:pPr>
            <w:r>
              <w:rPr>
                <w:rFonts w:ascii="Arial Black" w:hAnsi="Arial Black"/>
                <w:sz w:val="20"/>
                <w:szCs w:val="20"/>
              </w:rPr>
              <w:t>0207 882 8100</w:t>
            </w:r>
          </w:p>
          <w:p w:rsidR="00A01A59" w:rsidRPr="00B7381E" w:rsidRDefault="00A01A59" w:rsidP="00106235">
            <w:pPr>
              <w:rPr>
                <w:color w:val="FF0000"/>
              </w:rPr>
            </w:pPr>
          </w:p>
        </w:tc>
      </w:tr>
    </w:tbl>
    <w:p w:rsidR="006B3E97" w:rsidRDefault="006B3E97" w:rsidP="00A01A59"/>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A01A59" w:rsidTr="00106235">
        <w:trPr>
          <w:trHeight w:val="170"/>
        </w:trPr>
        <w:tc>
          <w:tcPr>
            <w:tcW w:w="10748" w:type="dxa"/>
            <w:tcBorders>
              <w:top w:val="nil"/>
              <w:left w:val="nil"/>
              <w:bottom w:val="nil"/>
              <w:right w:val="nil"/>
            </w:tcBorders>
            <w:shd w:val="clear" w:color="auto" w:fill="D3E5F9"/>
            <w:vAlign w:val="center"/>
          </w:tcPr>
          <w:p w:rsidR="00A01A59" w:rsidRPr="00BB03C8" w:rsidRDefault="00A01A59" w:rsidP="00106235">
            <w:pPr>
              <w:jc w:val="center"/>
              <w:rPr>
                <w:b/>
              </w:rPr>
            </w:pPr>
            <w:r>
              <w:rPr>
                <w:b/>
                <w:sz w:val="24"/>
              </w:rPr>
              <w:lastRenderedPageBreak/>
              <w:t>Module Overview</w:t>
            </w:r>
          </w:p>
        </w:tc>
      </w:tr>
    </w:tbl>
    <w:tbl>
      <w:tblPr>
        <w:tblStyle w:val="TableGrid"/>
        <w:tblpPr w:leftFromText="180" w:rightFromText="180" w:vertAnchor="text" w:horzAnchor="margin" w:tblpXSpec="center" w:tblpY="492"/>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699"/>
      </w:tblGrid>
      <w:tr w:rsidR="00A01A59" w:rsidTr="00106235">
        <w:trPr>
          <w:trHeight w:val="4810"/>
        </w:trPr>
        <w:tc>
          <w:tcPr>
            <w:tcW w:w="10699" w:type="dxa"/>
            <w:tcBorders>
              <w:top w:val="dotted" w:sz="4" w:space="0" w:color="auto"/>
              <w:left w:val="dotted" w:sz="4" w:space="0" w:color="auto"/>
              <w:bottom w:val="dotted" w:sz="4" w:space="0" w:color="auto"/>
              <w:right w:val="dotted" w:sz="4" w:space="0" w:color="auto"/>
            </w:tcBorders>
            <w:shd w:val="clear" w:color="auto" w:fill="FFFFFF" w:themeFill="background1"/>
          </w:tcPr>
          <w:sdt>
            <w:sdtPr>
              <w:tag w:val="goog_rdk_51"/>
              <w:id w:val="993840975"/>
            </w:sdtPr>
            <w:sdtEndPr/>
            <w:sdtContent>
              <w:p w:rsidR="006B3E97" w:rsidRPr="006B3E97" w:rsidRDefault="00AA6F8E" w:rsidP="006B3E97">
                <w:pPr>
                  <w:rPr>
                    <w:rFonts w:ascii="Arial Black" w:hAnsi="Arial Black"/>
                    <w:b/>
                    <w:sz w:val="20"/>
                    <w:szCs w:val="20"/>
                  </w:rPr>
                </w:pPr>
                <w:sdt>
                  <w:sdtPr>
                    <w:rPr>
                      <w:rFonts w:ascii="Arial Black" w:hAnsi="Arial Black"/>
                      <w:sz w:val="20"/>
                      <w:szCs w:val="20"/>
                    </w:rPr>
                    <w:tag w:val="goog_rdk_11"/>
                    <w:id w:val="1932396957"/>
                  </w:sdtPr>
                  <w:sdtEndPr/>
                  <w:sdtContent>
                    <w:r w:rsidR="006B3E97">
                      <w:rPr>
                        <w:rFonts w:ascii="Arial Black" w:hAnsi="Arial Black"/>
                        <w:sz w:val="20"/>
                        <w:szCs w:val="20"/>
                      </w:rPr>
                      <w:t>International Finance Law</w:t>
                    </w:r>
                  </w:sdtContent>
                </w:sdt>
                <w:r w:rsidR="006B3E97">
                  <w:rPr>
                    <w:rFonts w:ascii="Arial Black" w:hAnsi="Arial Black"/>
                    <w:b/>
                    <w:sz w:val="20"/>
                    <w:szCs w:val="20"/>
                  </w:rPr>
                  <w:t xml:space="preserve"> </w:t>
                </w:r>
                <w:r w:rsidR="00D97085">
                  <w:rPr>
                    <w:rFonts w:ascii="Arial Black" w:hAnsi="Arial Black"/>
                    <w:b/>
                    <w:sz w:val="20"/>
                    <w:szCs w:val="20"/>
                  </w:rPr>
                  <w:t xml:space="preserve">(IFLaw) </w:t>
                </w:r>
                <w:r w:rsidR="006B3E97">
                  <w:rPr>
                    <w:rFonts w:ascii="Arial Black" w:hAnsi="Arial Black"/>
                    <w:b/>
                    <w:sz w:val="20"/>
                    <w:szCs w:val="20"/>
                  </w:rPr>
                  <w:t>Module Description</w:t>
                </w:r>
              </w:p>
            </w:sdtContent>
          </w:sdt>
          <w:sdt>
            <w:sdtPr>
              <w:rPr>
                <w:b/>
              </w:rPr>
              <w:tag w:val="goog_rdk_52"/>
              <w:id w:val="-2109347463"/>
            </w:sdtPr>
            <w:sdtEndPr/>
            <w:sdtContent>
              <w:p w:rsidR="006B3E97" w:rsidRDefault="006B3E97" w:rsidP="006B3E97">
                <w:pPr>
                  <w:rPr>
                    <w:b/>
                  </w:rPr>
                </w:pPr>
                <w:r>
                  <w:rPr>
                    <w:b/>
                  </w:rPr>
                  <w:t>The purpose of the course is to examine the principal markets and main professional documentation used in the international finance and capital markets. International finance markets are key drivers in national and international economies and the new global economy. The City of London remains one of the key financial centres in the world for all of these markets and activities.</w:t>
                </w:r>
              </w:p>
            </w:sdtContent>
          </w:sdt>
          <w:sdt>
            <w:sdtPr>
              <w:rPr>
                <w:b/>
              </w:rPr>
              <w:tag w:val="goog_rdk_53"/>
              <w:id w:val="1170763828"/>
            </w:sdtPr>
            <w:sdtEndPr/>
            <w:sdtContent>
              <w:p w:rsidR="001F0F6B" w:rsidRDefault="006B3E97" w:rsidP="006B3E97">
                <w:pPr>
                  <w:rPr>
                    <w:b/>
                  </w:rPr>
                </w:pPr>
                <w:r>
                  <w:rPr>
                    <w:b/>
                  </w:rPr>
                  <w:t xml:space="preserve">This course examines the nature, function, structure, operation and importance of </w:t>
                </w:r>
                <w:r w:rsidR="007A6BD8">
                  <w:rPr>
                    <w:b/>
                  </w:rPr>
                  <w:t>t</w:t>
                </w:r>
                <w:r w:rsidR="008858B3">
                  <w:rPr>
                    <w:b/>
                  </w:rPr>
                  <w:t xml:space="preserve">he </w:t>
                </w:r>
                <w:r w:rsidR="007A6BD8">
                  <w:rPr>
                    <w:b/>
                  </w:rPr>
                  <w:t xml:space="preserve">core underlying </w:t>
                </w:r>
                <w:r>
                  <w:rPr>
                    <w:b/>
                  </w:rPr>
                  <w:t>financial markets involved. This is essentially a private law, contract or transactional and documentation course which provides professional preparation in designing, structuring and executing all of the principal separate financial contracts involved.</w:t>
                </w:r>
              </w:p>
              <w:sdt>
                <w:sdtPr>
                  <w:rPr>
                    <w:b/>
                  </w:rPr>
                  <w:tag w:val="goog_rdk_57"/>
                  <w:id w:val="-810320012"/>
                </w:sdtPr>
                <w:sdtContent>
                  <w:p w:rsidR="00587D40" w:rsidRDefault="00587D40" w:rsidP="00587D40">
                    <w:pPr>
                      <w:rPr>
                        <w:b/>
                      </w:rPr>
                    </w:pPr>
                    <w:r>
                      <w:rPr>
                        <w:b/>
                      </w:rPr>
                      <w:t xml:space="preserve">The course is </w:t>
                    </w:r>
                    <w:r w:rsidR="007A6BD8">
                      <w:rPr>
                        <w:b/>
                      </w:rPr>
                      <w:t xml:space="preserve">in 5 </w:t>
                    </w:r>
                    <w:r w:rsidR="008858B3">
                      <w:rPr>
                        <w:b/>
                      </w:rPr>
                      <w:t xml:space="preserve">Parts </w:t>
                    </w:r>
                    <w:r>
                      <w:rPr>
                        <w:b/>
                      </w:rPr>
                      <w:t xml:space="preserve">and </w:t>
                    </w:r>
                    <w:r w:rsidR="007A6BD8">
                      <w:rPr>
                        <w:b/>
                      </w:rPr>
                      <w:t>specifically</w:t>
                    </w:r>
                    <w:r w:rsidR="007A6BD8">
                      <w:rPr>
                        <w:b/>
                      </w:rPr>
                      <w:t xml:space="preserve"> </w:t>
                    </w:r>
                    <w:r>
                      <w:rPr>
                        <w:b/>
                      </w:rPr>
                      <w:t>examines International Finance</w:t>
                    </w:r>
                    <w:r w:rsidR="00C66781">
                      <w:rPr>
                        <w:b/>
                      </w:rPr>
                      <w:t xml:space="preserve">, and Eurodollar, </w:t>
                    </w:r>
                    <w:r>
                      <w:rPr>
                        <w:b/>
                      </w:rPr>
                      <w:t>Markets, International Loan Law (Syndicated Lending), International Bond Law, International Note Law</w:t>
                    </w:r>
                    <w:r w:rsidR="004336BC">
                      <w:rPr>
                        <w:b/>
                      </w:rPr>
                      <w:t xml:space="preserve"> (with </w:t>
                    </w:r>
                    <w:r>
                      <w:rPr>
                        <w:b/>
                      </w:rPr>
                      <w:t>Sale &amp; Repurchase Transactions</w:t>
                    </w:r>
                    <w:r w:rsidR="004336BC">
                      <w:rPr>
                        <w:b/>
                      </w:rPr>
                      <w:t>)</w:t>
                    </w:r>
                    <w:r>
                      <w:rPr>
                        <w:b/>
                      </w:rPr>
                      <w:t xml:space="preserve"> and Stock Markets &amp; Exchanges. </w:t>
                    </w:r>
                  </w:p>
                </w:sdtContent>
              </w:sdt>
              <w:p w:rsidR="001F0F6B" w:rsidRDefault="001F0F6B" w:rsidP="001F0F6B">
                <w:pPr>
                  <w:pStyle w:val="NormalWeb"/>
                  <w:spacing w:before="0" w:beforeAutospacing="0" w:after="0" w:afterAutospacing="0"/>
                  <w:rPr>
                    <w:rFonts w:asciiTheme="minorHAnsi" w:hAnsiTheme="minorHAnsi" w:cs="Arial"/>
                    <w:b/>
                    <w:sz w:val="22"/>
                    <w:szCs w:val="22"/>
                  </w:rPr>
                </w:pPr>
                <w:r w:rsidRPr="00F34C8D">
                  <w:rPr>
                    <w:rFonts w:asciiTheme="minorHAnsi" w:hAnsiTheme="minorHAnsi" w:cs="Arial"/>
                    <w:b/>
                    <w:sz w:val="22"/>
                    <w:szCs w:val="22"/>
                  </w:rPr>
                  <w:t xml:space="preserve">International Financial Law (IFLaw) (SOLM005) </w:t>
                </w:r>
                <w:r w:rsidR="00981EFB">
                  <w:rPr>
                    <w:rFonts w:asciiTheme="minorHAnsi" w:hAnsiTheme="minorHAnsi" w:cs="Arial"/>
                    <w:b/>
                    <w:sz w:val="22"/>
                    <w:szCs w:val="22"/>
                  </w:rPr>
                  <w:t xml:space="preserve">is taught </w:t>
                </w:r>
                <w:r w:rsidRPr="00F34C8D">
                  <w:rPr>
                    <w:rFonts w:asciiTheme="minorHAnsi" w:hAnsiTheme="minorHAnsi" w:cs="Arial"/>
                    <w:b/>
                    <w:sz w:val="22"/>
                    <w:szCs w:val="22"/>
                  </w:rPr>
                  <w:t xml:space="preserve">in </w:t>
                </w:r>
                <w:r w:rsidR="00C55DD3" w:rsidRPr="00F34C8D">
                  <w:rPr>
                    <w:rFonts w:asciiTheme="minorHAnsi" w:hAnsiTheme="minorHAnsi" w:cs="Arial"/>
                    <w:b/>
                    <w:sz w:val="22"/>
                    <w:szCs w:val="22"/>
                  </w:rPr>
                  <w:t xml:space="preserve">Semester </w:t>
                </w:r>
                <w:r w:rsidRPr="00F34C8D">
                  <w:rPr>
                    <w:rFonts w:asciiTheme="minorHAnsi" w:hAnsiTheme="minorHAnsi" w:cs="Arial"/>
                    <w:b/>
                    <w:sz w:val="22"/>
                    <w:szCs w:val="22"/>
                  </w:rPr>
                  <w:t xml:space="preserve">1 </w:t>
                </w:r>
                <w:r w:rsidR="00D01355">
                  <w:rPr>
                    <w:rFonts w:asciiTheme="minorHAnsi" w:hAnsiTheme="minorHAnsi" w:cs="Arial"/>
                    <w:b/>
                    <w:sz w:val="22"/>
                    <w:szCs w:val="22"/>
                  </w:rPr>
                  <w:t xml:space="preserve">and </w:t>
                </w:r>
                <w:r w:rsidRPr="00F34C8D">
                  <w:rPr>
                    <w:rFonts w:asciiTheme="minorHAnsi" w:hAnsiTheme="minorHAnsi" w:cs="Arial"/>
                    <w:b/>
                    <w:sz w:val="22"/>
                    <w:szCs w:val="22"/>
                  </w:rPr>
                  <w:t xml:space="preserve">provides the basic background to the core markets and documentation with more advanced markets and transactions being examined in International Finance Law Applied (IFLA) (SOLM006) in </w:t>
                </w:r>
                <w:r w:rsidR="00C55DD3" w:rsidRPr="00F34C8D">
                  <w:rPr>
                    <w:rFonts w:asciiTheme="minorHAnsi" w:hAnsiTheme="minorHAnsi" w:cs="Arial"/>
                    <w:b/>
                    <w:sz w:val="22"/>
                    <w:szCs w:val="22"/>
                  </w:rPr>
                  <w:t xml:space="preserve">Semester </w:t>
                </w:r>
                <w:r w:rsidRPr="00F34C8D">
                  <w:rPr>
                    <w:rFonts w:asciiTheme="minorHAnsi" w:hAnsiTheme="minorHAnsi" w:cs="Arial"/>
                    <w:b/>
                    <w:sz w:val="22"/>
                    <w:szCs w:val="22"/>
                  </w:rPr>
                  <w:t>2.</w:t>
                </w:r>
              </w:p>
              <w:p w:rsidR="001F0F6B" w:rsidRDefault="001F0F6B" w:rsidP="001F0F6B">
                <w:pPr>
                  <w:pStyle w:val="NormalWeb"/>
                  <w:spacing w:before="0" w:beforeAutospacing="0" w:after="0" w:afterAutospacing="0"/>
                  <w:rPr>
                    <w:rFonts w:asciiTheme="minorHAnsi" w:hAnsiTheme="minorHAnsi" w:cs="Arial"/>
                    <w:b/>
                    <w:sz w:val="22"/>
                    <w:szCs w:val="22"/>
                  </w:rPr>
                </w:pPr>
              </w:p>
              <w:p w:rsidR="001B01A7" w:rsidRDefault="001F0F6B" w:rsidP="001F0F6B">
                <w:pPr>
                  <w:pStyle w:val="NormalWeb"/>
                  <w:spacing w:before="0" w:beforeAutospacing="0" w:after="0" w:afterAutospacing="0"/>
                  <w:rPr>
                    <w:rFonts w:asciiTheme="minorHAnsi" w:hAnsiTheme="minorHAnsi" w:cs="Arial"/>
                    <w:b/>
                    <w:sz w:val="22"/>
                    <w:szCs w:val="22"/>
                  </w:rPr>
                </w:pPr>
                <w:r w:rsidRPr="00F34C8D">
                  <w:rPr>
                    <w:rFonts w:asciiTheme="minorHAnsi" w:hAnsiTheme="minorHAnsi" w:cs="Arial"/>
                    <w:b/>
                    <w:sz w:val="22"/>
                    <w:szCs w:val="22"/>
                  </w:rPr>
                  <w:t xml:space="preserve">While the background to each course </w:t>
                </w:r>
                <w:r w:rsidR="00FC1AF4">
                  <w:rPr>
                    <w:rFonts w:asciiTheme="minorHAnsi" w:hAnsiTheme="minorHAnsi" w:cs="Arial"/>
                    <w:b/>
                    <w:sz w:val="22"/>
                    <w:szCs w:val="22"/>
                  </w:rPr>
                  <w:t xml:space="preserve">is the same, the content is </w:t>
                </w:r>
                <w:r w:rsidRPr="00F34C8D">
                  <w:rPr>
                    <w:rFonts w:asciiTheme="minorHAnsi" w:hAnsiTheme="minorHAnsi" w:cs="Arial"/>
                    <w:b/>
                    <w:sz w:val="22"/>
                    <w:szCs w:val="22"/>
                  </w:rPr>
                  <w:t>di</w:t>
                </w:r>
                <w:r w:rsidR="00FC1AF4">
                  <w:rPr>
                    <w:rFonts w:asciiTheme="minorHAnsi" w:hAnsiTheme="minorHAnsi" w:cs="Arial"/>
                    <w:b/>
                    <w:sz w:val="22"/>
                    <w:szCs w:val="22"/>
                  </w:rPr>
                  <w:t xml:space="preserve">stinct </w:t>
                </w:r>
                <w:r w:rsidRPr="00F34C8D">
                  <w:rPr>
                    <w:rFonts w:asciiTheme="minorHAnsi" w:hAnsiTheme="minorHAnsi" w:cs="Arial"/>
                    <w:b/>
                    <w:sz w:val="22"/>
                    <w:szCs w:val="22"/>
                  </w:rPr>
                  <w:t>with the fina</w:t>
                </w:r>
                <w:r w:rsidR="008E0391">
                  <w:rPr>
                    <w:rFonts w:asciiTheme="minorHAnsi" w:hAnsiTheme="minorHAnsi" w:cs="Arial"/>
                    <w:b/>
                    <w:sz w:val="22"/>
                    <w:szCs w:val="22"/>
                  </w:rPr>
                  <w:t xml:space="preserve">l examinations focusing on </w:t>
                </w:r>
                <w:r w:rsidRPr="00F34C8D">
                  <w:rPr>
                    <w:rFonts w:asciiTheme="minorHAnsi" w:hAnsiTheme="minorHAnsi" w:cs="Arial"/>
                    <w:b/>
                    <w:sz w:val="22"/>
                    <w:szCs w:val="22"/>
                  </w:rPr>
                  <w:t xml:space="preserve">different subjects and aspects. Students </w:t>
                </w:r>
                <w:r w:rsidR="008E0391">
                  <w:rPr>
                    <w:rFonts w:asciiTheme="minorHAnsi" w:hAnsiTheme="minorHAnsi" w:cs="Arial"/>
                    <w:b/>
                    <w:sz w:val="22"/>
                    <w:szCs w:val="22"/>
                  </w:rPr>
                  <w:t xml:space="preserve">can </w:t>
                </w:r>
                <w:r w:rsidRPr="00F34C8D">
                  <w:rPr>
                    <w:rFonts w:asciiTheme="minorHAnsi" w:hAnsiTheme="minorHAnsi" w:cs="Arial"/>
                    <w:b/>
                    <w:sz w:val="22"/>
                    <w:szCs w:val="22"/>
                  </w:rPr>
                  <w:t>take either cour</w:t>
                </w:r>
                <w:r w:rsidR="008E0391">
                  <w:rPr>
                    <w:rFonts w:asciiTheme="minorHAnsi" w:hAnsiTheme="minorHAnsi" w:cs="Arial"/>
                    <w:b/>
                    <w:sz w:val="22"/>
                    <w:szCs w:val="22"/>
                  </w:rPr>
                  <w:t>se</w:t>
                </w:r>
                <w:r w:rsidRPr="00F34C8D">
                  <w:rPr>
                    <w:rFonts w:asciiTheme="minorHAnsi" w:hAnsiTheme="minorHAnsi" w:cs="Arial"/>
                    <w:b/>
                    <w:sz w:val="22"/>
                    <w:szCs w:val="22"/>
                  </w:rPr>
                  <w:t xml:space="preserve"> separately, or both together, </w:t>
                </w:r>
                <w:r w:rsidR="008E0391">
                  <w:rPr>
                    <w:rFonts w:asciiTheme="minorHAnsi" w:hAnsiTheme="minorHAnsi" w:cs="Arial"/>
                    <w:b/>
                    <w:sz w:val="22"/>
                    <w:szCs w:val="22"/>
                  </w:rPr>
                  <w:t xml:space="preserve">and </w:t>
                </w:r>
                <w:r w:rsidRPr="00F34C8D">
                  <w:rPr>
                    <w:rFonts w:asciiTheme="minorHAnsi" w:hAnsiTheme="minorHAnsi" w:cs="Arial"/>
                    <w:b/>
                    <w:sz w:val="22"/>
                    <w:szCs w:val="22"/>
                  </w:rPr>
                  <w:t xml:space="preserve">there is no prerequisite to take one or the other. </w:t>
                </w:r>
                <w:r w:rsidR="00FC1AF4" w:rsidRPr="00F34C8D">
                  <w:rPr>
                    <w:rFonts w:asciiTheme="minorHAnsi" w:hAnsiTheme="minorHAnsi" w:cs="Arial"/>
                    <w:b/>
                    <w:sz w:val="22"/>
                    <w:szCs w:val="22"/>
                  </w:rPr>
                  <w:t xml:space="preserve">The detailed content of each </w:t>
                </w:r>
                <w:r w:rsidR="00FC1AF4">
                  <w:rPr>
                    <w:rFonts w:asciiTheme="minorHAnsi" w:hAnsiTheme="minorHAnsi" w:cs="Arial"/>
                    <w:b/>
                    <w:sz w:val="22"/>
                    <w:szCs w:val="22"/>
                  </w:rPr>
                  <w:t xml:space="preserve">course </w:t>
                </w:r>
                <w:r w:rsidR="00FC1AF4" w:rsidRPr="00F34C8D">
                  <w:rPr>
                    <w:rFonts w:asciiTheme="minorHAnsi" w:hAnsiTheme="minorHAnsi" w:cs="Arial"/>
                    <w:b/>
                    <w:sz w:val="22"/>
                    <w:szCs w:val="22"/>
                  </w:rPr>
                  <w:t>is</w:t>
                </w:r>
                <w:r w:rsidR="00FC1AF4">
                  <w:rPr>
                    <w:rFonts w:asciiTheme="minorHAnsi" w:hAnsiTheme="minorHAnsi" w:cs="Arial"/>
                    <w:b/>
                    <w:sz w:val="22"/>
                    <w:szCs w:val="22"/>
                  </w:rPr>
                  <w:t xml:space="preserve"> set </w:t>
                </w:r>
                <w:r w:rsidR="00AB1EF1">
                  <w:rPr>
                    <w:rFonts w:asciiTheme="minorHAnsi" w:hAnsiTheme="minorHAnsi" w:cs="Arial"/>
                    <w:b/>
                    <w:sz w:val="22"/>
                    <w:szCs w:val="22"/>
                  </w:rPr>
                  <w:t xml:space="preserve">out </w:t>
                </w:r>
                <w:r w:rsidR="00FC1AF4">
                  <w:rPr>
                    <w:rFonts w:asciiTheme="minorHAnsi" w:hAnsiTheme="minorHAnsi" w:cs="Arial"/>
                    <w:b/>
                    <w:sz w:val="22"/>
                    <w:szCs w:val="22"/>
                  </w:rPr>
                  <w:t>in the</w:t>
                </w:r>
                <w:r w:rsidR="00FC1AF4" w:rsidRPr="00F34C8D">
                  <w:rPr>
                    <w:rFonts w:asciiTheme="minorHAnsi" w:hAnsiTheme="minorHAnsi" w:cs="Arial"/>
                    <w:b/>
                    <w:sz w:val="22"/>
                    <w:szCs w:val="22"/>
                  </w:rPr>
                  <w:t xml:space="preserve"> course timetables </w:t>
                </w:r>
                <w:r w:rsidR="00FC1AF4">
                  <w:rPr>
                    <w:rFonts w:asciiTheme="minorHAnsi" w:hAnsiTheme="minorHAnsi" w:cs="Arial"/>
                    <w:b/>
                    <w:sz w:val="22"/>
                    <w:szCs w:val="22"/>
                  </w:rPr>
                  <w:t>and on the QM</w:t>
                </w:r>
                <w:r w:rsidR="00FC1AF4">
                  <w:rPr>
                    <w:rFonts w:asciiTheme="minorHAnsi" w:hAnsiTheme="minorHAnsi" w:cs="Arial"/>
                    <w:b/>
                    <w:sz w:val="22"/>
                    <w:szCs w:val="22"/>
                  </w:rPr>
                  <w:t>P</w:t>
                </w:r>
                <w:r w:rsidR="00FC1AF4">
                  <w:rPr>
                    <w:rFonts w:asciiTheme="minorHAnsi" w:hAnsiTheme="minorHAnsi" w:cs="Arial"/>
                    <w:b/>
                    <w:sz w:val="22"/>
                    <w:szCs w:val="22"/>
                  </w:rPr>
                  <w:t xml:space="preserve">lus pages </w:t>
                </w:r>
                <w:r w:rsidR="00FC1AF4" w:rsidRPr="00F34C8D">
                  <w:rPr>
                    <w:rFonts w:asciiTheme="minorHAnsi" w:hAnsiTheme="minorHAnsi" w:cs="Arial"/>
                    <w:b/>
                    <w:sz w:val="22"/>
                    <w:szCs w:val="22"/>
                  </w:rPr>
                  <w:t>made available online.</w:t>
                </w:r>
                <w:r w:rsidRPr="00F34C8D">
                  <w:rPr>
                    <w:rFonts w:asciiTheme="minorHAnsi" w:hAnsiTheme="minorHAnsi" w:cs="Arial"/>
                    <w:b/>
                    <w:sz w:val="22"/>
                    <w:szCs w:val="22"/>
                  </w:rPr>
                  <w:t> </w:t>
                </w:r>
                <w:r w:rsidR="001B01A7">
                  <w:rPr>
                    <w:rFonts w:asciiTheme="minorHAnsi" w:hAnsiTheme="minorHAnsi" w:cs="Arial"/>
                    <w:b/>
                    <w:sz w:val="22"/>
                    <w:szCs w:val="22"/>
                  </w:rPr>
                  <w:t xml:space="preserve">The basic course content is outlined below. </w:t>
                </w:r>
              </w:p>
              <w:p w:rsidR="001F0F6B" w:rsidRPr="00F34C8D" w:rsidRDefault="001F0F6B" w:rsidP="001F0F6B">
                <w:pPr>
                  <w:pStyle w:val="NormalWeb"/>
                  <w:spacing w:before="0" w:beforeAutospacing="0" w:after="0" w:afterAutospacing="0"/>
                  <w:rPr>
                    <w:rFonts w:asciiTheme="minorHAnsi" w:hAnsiTheme="minorHAnsi" w:cs="Arial"/>
                    <w:b/>
                    <w:sz w:val="22"/>
                    <w:szCs w:val="22"/>
                  </w:rPr>
                </w:pPr>
                <w:r w:rsidRPr="00F34C8D">
                  <w:rPr>
                    <w:rFonts w:asciiTheme="minorHAnsi" w:hAnsiTheme="minorHAnsi" w:cs="Arial"/>
                    <w:b/>
                    <w:sz w:val="22"/>
                    <w:szCs w:val="22"/>
                  </w:rPr>
                  <w:t> </w:t>
                </w:r>
              </w:p>
              <w:p w:rsidR="001F0F6B" w:rsidRPr="00F34C8D" w:rsidRDefault="001F0F6B" w:rsidP="001F0F6B">
                <w:pPr>
                  <w:pStyle w:val="NormalWeb"/>
                  <w:spacing w:before="0" w:beforeAutospacing="0" w:after="0" w:afterAutospacing="0"/>
                  <w:rPr>
                    <w:rFonts w:asciiTheme="minorHAnsi" w:hAnsiTheme="minorHAnsi" w:cs="Arial"/>
                    <w:b/>
                    <w:sz w:val="22"/>
                    <w:szCs w:val="22"/>
                  </w:rPr>
                </w:pPr>
                <w:r w:rsidRPr="00F34C8D">
                  <w:rPr>
                    <w:rFonts w:asciiTheme="minorHAnsi" w:hAnsiTheme="minorHAnsi" w:cs="Arial"/>
                    <w:b/>
                    <w:sz w:val="22"/>
                    <w:szCs w:val="22"/>
                  </w:rPr>
                  <w:t>Students are also not expected to have any prior information or experience. The objective is to explain all aspects of th</w:t>
                </w:r>
                <w:r w:rsidR="005F07D3">
                  <w:rPr>
                    <w:rFonts w:asciiTheme="minorHAnsi" w:hAnsiTheme="minorHAnsi" w:cs="Arial"/>
                    <w:b/>
                    <w:sz w:val="22"/>
                    <w:szCs w:val="22"/>
                  </w:rPr>
                  <w:t>e markets covered</w:t>
                </w:r>
                <w:r w:rsidRPr="00F34C8D">
                  <w:rPr>
                    <w:rFonts w:asciiTheme="minorHAnsi" w:hAnsiTheme="minorHAnsi" w:cs="Arial"/>
                    <w:b/>
                    <w:sz w:val="22"/>
                    <w:szCs w:val="22"/>
                  </w:rPr>
                  <w:t xml:space="preserve"> with no familiarity with the underlying subjects concerned</w:t>
                </w:r>
                <w:r w:rsidR="007D4F23">
                  <w:rPr>
                    <w:rFonts w:asciiTheme="minorHAnsi" w:hAnsiTheme="minorHAnsi" w:cs="Arial"/>
                    <w:b/>
                    <w:sz w:val="22"/>
                    <w:szCs w:val="22"/>
                  </w:rPr>
                  <w:t xml:space="preserve"> being required</w:t>
                </w:r>
                <w:r w:rsidRPr="00F34C8D">
                  <w:rPr>
                    <w:rFonts w:asciiTheme="minorHAnsi" w:hAnsiTheme="minorHAnsi" w:cs="Arial"/>
                    <w:b/>
                    <w:sz w:val="22"/>
                    <w:szCs w:val="22"/>
                  </w:rPr>
                  <w:t>. </w:t>
                </w:r>
              </w:p>
              <w:p w:rsidR="006B3E97" w:rsidRDefault="00AA6F8E" w:rsidP="006B3E97">
                <w:pPr>
                  <w:rPr>
                    <w:b/>
                  </w:rPr>
                </w:pPr>
              </w:p>
            </w:sdtContent>
          </w:sdt>
          <w:p w:rsidR="006B3E97" w:rsidRDefault="00AA6F8E" w:rsidP="001B01A7">
            <w:pPr>
              <w:tabs>
                <w:tab w:val="left" w:pos="5849"/>
              </w:tabs>
              <w:rPr>
                <w:rFonts w:ascii="Arial Black" w:hAnsi="Arial Black"/>
                <w:b/>
                <w:sz w:val="20"/>
                <w:szCs w:val="20"/>
              </w:rPr>
            </w:pPr>
            <w:sdt>
              <w:sdtPr>
                <w:rPr>
                  <w:b/>
                </w:rPr>
                <w:tag w:val="goog_rdk_55"/>
                <w:id w:val="-1233855689"/>
              </w:sdtPr>
              <w:sdtEndPr/>
              <w:sdtContent>
                <w:sdt>
                  <w:sdtPr>
                    <w:rPr>
                      <w:rFonts w:ascii="Arial Black" w:hAnsi="Arial Black"/>
                      <w:sz w:val="20"/>
                      <w:szCs w:val="20"/>
                    </w:rPr>
                    <w:tag w:val="goog_rdk_11"/>
                    <w:id w:val="-335997300"/>
                  </w:sdtPr>
                  <w:sdtEndPr/>
                  <w:sdtContent>
                    <w:r w:rsidR="006B3E97">
                      <w:rPr>
                        <w:rFonts w:ascii="Arial Black" w:hAnsi="Arial Black"/>
                        <w:sz w:val="20"/>
                        <w:szCs w:val="20"/>
                      </w:rPr>
                      <w:t>International Finance Law</w:t>
                    </w:r>
                  </w:sdtContent>
                </w:sdt>
                <w:r w:rsidR="006B3E97">
                  <w:rPr>
                    <w:rFonts w:ascii="Arial Black" w:hAnsi="Arial Black"/>
                    <w:b/>
                    <w:sz w:val="20"/>
                    <w:szCs w:val="20"/>
                  </w:rPr>
                  <w:t xml:space="preserve"> </w:t>
                </w:r>
                <w:r w:rsidR="00FC1AF4">
                  <w:rPr>
                    <w:rFonts w:ascii="Arial Black" w:hAnsi="Arial Black"/>
                    <w:b/>
                    <w:sz w:val="20"/>
                    <w:szCs w:val="20"/>
                  </w:rPr>
                  <w:t xml:space="preserve">(IFLaw) </w:t>
                </w:r>
                <w:r w:rsidR="006B3E97">
                  <w:rPr>
                    <w:rFonts w:ascii="Arial Black" w:hAnsi="Arial Black"/>
                    <w:b/>
                    <w:sz w:val="20"/>
                    <w:szCs w:val="20"/>
                  </w:rPr>
                  <w:t>Module Aims</w:t>
                </w:r>
              </w:sdtContent>
            </w:sdt>
            <w:r w:rsidR="001B01A7">
              <w:rPr>
                <w:b/>
              </w:rPr>
              <w:tab/>
            </w:r>
          </w:p>
          <w:sdt>
            <w:sdtPr>
              <w:rPr>
                <w:rFonts w:ascii="Arial Black" w:hAnsi="Arial Black"/>
                <w:b/>
                <w:sz w:val="20"/>
                <w:szCs w:val="20"/>
              </w:rPr>
              <w:tag w:val="goog_rdk_56"/>
              <w:id w:val="747005456"/>
            </w:sdtPr>
            <w:sdtEndPr/>
            <w:sdtContent>
              <w:p w:rsidR="00653529" w:rsidRDefault="006B3E97" w:rsidP="006B3E97">
                <w:pPr>
                  <w:rPr>
                    <w:b/>
                  </w:rPr>
                </w:pPr>
                <w:r>
                  <w:rPr>
                    <w:b/>
                  </w:rPr>
                  <w:t xml:space="preserve">The </w:t>
                </w:r>
                <w:r w:rsidR="001B01A7">
                  <w:rPr>
                    <w:b/>
                  </w:rPr>
                  <w:t xml:space="preserve">IFLaw </w:t>
                </w:r>
                <w:r>
                  <w:rPr>
                    <w:b/>
                  </w:rPr>
                  <w:t>course considers the nature of international fina</w:t>
                </w:r>
                <w:r w:rsidR="004D457D">
                  <w:rPr>
                    <w:b/>
                  </w:rPr>
                  <w:t xml:space="preserve">nce and the structure of </w:t>
                </w:r>
                <w:r>
                  <w:rPr>
                    <w:b/>
                  </w:rPr>
                  <w:t xml:space="preserve">the main international money and capital markets. The course principally examines the structure and operation of the two principal international finance markets with the International (Euro) Syndicated Loan Market and the </w:t>
                </w:r>
                <w:r w:rsidR="00167B7E">
                  <w:rPr>
                    <w:b/>
                  </w:rPr>
                  <w:t>International (or Euro) Bond with the</w:t>
                </w:r>
                <w:r>
                  <w:rPr>
                    <w:b/>
                  </w:rPr>
                  <w:t xml:space="preserve"> shorter duration Euronote and Commercial Paper Markets. The course considers all of the parties involved and their respective rights and duties and transaction structure and documentation. </w:t>
                </w:r>
                <w:r w:rsidR="006837AD">
                  <w:rPr>
                    <w:b/>
                  </w:rPr>
                  <w:t>The c</w:t>
                </w:r>
                <w:r w:rsidR="000B123C">
                  <w:rPr>
                    <w:b/>
                  </w:rPr>
                  <w:t>o</w:t>
                </w:r>
                <w:r w:rsidR="006837AD">
                  <w:rPr>
                    <w:b/>
                  </w:rPr>
                  <w:t>urse will also review S</w:t>
                </w:r>
                <w:r w:rsidR="006837AD">
                  <w:rPr>
                    <w:b/>
                  </w:rPr>
                  <w:t xml:space="preserve">ale &amp; Repurchase Transactions and Stock Markets &amp; Exchanges. </w:t>
                </w:r>
              </w:p>
              <w:p w:rsidR="006B3E97" w:rsidRDefault="006B3E97" w:rsidP="006B3E97">
                <w:pPr>
                  <w:rPr>
                    <w:b/>
                  </w:rPr>
                </w:pPr>
                <w:r>
                  <w:rPr>
                    <w:b/>
                  </w:rPr>
                  <w:t>The course specifically examines the core standard documentation used in international finance transactions which has been prepared by the main trade associations</w:t>
                </w:r>
                <w:r w:rsidR="00260FBC">
                  <w:rPr>
                    <w:b/>
                  </w:rPr>
                  <w:t>,</w:t>
                </w:r>
                <w:r>
                  <w:rPr>
                    <w:b/>
                  </w:rPr>
                  <w:t xml:space="preserve"> including the Loan Markets Association (LMA)</w:t>
                </w:r>
                <w:r w:rsidR="00FC1AF4">
                  <w:rPr>
                    <w:b/>
                  </w:rPr>
                  <w:t xml:space="preserve"> and </w:t>
                </w:r>
                <w:r>
                  <w:rPr>
                    <w:b/>
                  </w:rPr>
                  <w:t>International Capital Markets Association (ICMA)</w:t>
                </w:r>
                <w:r w:rsidR="00FC1AF4">
                  <w:rPr>
                    <w:b/>
                  </w:rPr>
                  <w:t>.</w:t>
                </w:r>
                <w:r>
                  <w:rPr>
                    <w:b/>
                  </w:rPr>
                  <w:t xml:space="preserve"> </w:t>
                </w:r>
                <w:r w:rsidR="00260FBC" w:rsidRPr="00F34C8D">
                  <w:rPr>
                    <w:rFonts w:asciiTheme="minorHAnsi" w:hAnsiTheme="minorHAnsi" w:cs="Arial"/>
                    <w:b/>
                    <w:szCs w:val="22"/>
                  </w:rPr>
                  <w:t xml:space="preserve">This creates a form of internal market based self-regulatory model which acts as a surrogate or proxy for external official regulation. </w:t>
                </w:r>
                <w:r w:rsidR="00260FBC">
                  <w:rPr>
                    <w:rFonts w:asciiTheme="minorHAnsi" w:hAnsiTheme="minorHAnsi" w:cs="Arial"/>
                    <w:b/>
                    <w:szCs w:val="22"/>
                  </w:rPr>
                  <w:t xml:space="preserve"> </w:t>
                </w:r>
                <w:r>
                  <w:rPr>
                    <w:b/>
                  </w:rPr>
                  <w:t>Students will be able to draft full documentation and negotiate complex deals when they have completed the course.</w:t>
                </w:r>
              </w:p>
            </w:sdtContent>
          </w:sdt>
          <w:sdt>
            <w:sdtPr>
              <w:rPr>
                <w:b/>
              </w:rPr>
              <w:tag w:val="goog_rdk_58"/>
              <w:id w:val="-578281487"/>
            </w:sdtPr>
            <w:sdtEndPr/>
            <w:sdtContent>
              <w:p w:rsidR="006B3E97" w:rsidRDefault="006B3E97" w:rsidP="006B3E97">
                <w:pPr>
                  <w:rPr>
                    <w:b/>
                  </w:rPr>
                </w:pPr>
                <w:r>
                  <w:rPr>
                    <w:b/>
                  </w:rPr>
                  <w:t>No previous knowledge of financial law or markets or background in economic or finance theory is required</w:t>
                </w:r>
                <w:r w:rsidR="00E65DE9">
                  <w:rPr>
                    <w:b/>
                  </w:rPr>
                  <w:t xml:space="preserve"> as noted</w:t>
                </w:r>
                <w:r>
                  <w:rPr>
                    <w:b/>
                  </w:rPr>
                  <w:t>. It is assumed that students have no prior background or expertise. All relevant materials are provided on Q</w:t>
                </w:r>
                <w:r w:rsidR="0008141F">
                  <w:rPr>
                    <w:b/>
                  </w:rPr>
                  <w:t>MP</w:t>
                </w:r>
                <w:r>
                  <w:rPr>
                    <w:b/>
                  </w:rPr>
                  <w:t>lus which</w:t>
                </w:r>
                <w:r w:rsidR="0068597F">
                  <w:rPr>
                    <w:b/>
                  </w:rPr>
                  <w:t xml:space="preserve"> includes links to all key </w:t>
                </w:r>
                <w:r>
                  <w:rPr>
                    <w:b/>
                  </w:rPr>
                  <w:t>websites including electronic Financial Dictionaries, Glossaries and Summaries.</w:t>
                </w:r>
              </w:p>
            </w:sdtContent>
          </w:sdt>
          <w:p w:rsidR="00A01A59" w:rsidRPr="00677B9A" w:rsidRDefault="006B3E97" w:rsidP="006B3E97">
            <w:pPr>
              <w:rPr>
                <w:i/>
              </w:rPr>
            </w:pPr>
            <w:r>
              <w:rPr>
                <w:b/>
              </w:rPr>
              <w:t>Comprehensive book lists are provided although no book purchases are required to take this course.</w:t>
            </w:r>
          </w:p>
        </w:tc>
      </w:tr>
    </w:tbl>
    <w:p w:rsidR="00B418D2" w:rsidRDefault="00B418D2" w:rsidP="003A349C"/>
    <w:p w:rsidR="003A349C" w:rsidRDefault="00B418D2" w:rsidP="00F22941">
      <w:pPr>
        <w:spacing w:after="160" w:line="259" w:lineRule="auto"/>
      </w:pPr>
      <w:r>
        <w:br w:type="page"/>
      </w:r>
    </w:p>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A01A59" w:rsidTr="00106235">
        <w:trPr>
          <w:trHeight w:val="170"/>
        </w:trPr>
        <w:tc>
          <w:tcPr>
            <w:tcW w:w="10748" w:type="dxa"/>
            <w:tcBorders>
              <w:top w:val="nil"/>
              <w:left w:val="nil"/>
              <w:bottom w:val="nil"/>
              <w:right w:val="nil"/>
            </w:tcBorders>
            <w:shd w:val="clear" w:color="auto" w:fill="D3E5F9"/>
            <w:vAlign w:val="center"/>
          </w:tcPr>
          <w:p w:rsidR="00A01A59" w:rsidRPr="00BB03C8" w:rsidRDefault="00A01A59" w:rsidP="00106235">
            <w:pPr>
              <w:jc w:val="center"/>
              <w:rPr>
                <w:b/>
              </w:rPr>
            </w:pPr>
            <w:r>
              <w:rPr>
                <w:b/>
                <w:sz w:val="24"/>
              </w:rPr>
              <w:t>Module Weekly Syllabus</w:t>
            </w:r>
          </w:p>
        </w:tc>
      </w:tr>
    </w:tbl>
    <w:tbl>
      <w:tblPr>
        <w:tblStyle w:val="TableGrid"/>
        <w:tblpPr w:leftFromText="180" w:rightFromText="180" w:vertAnchor="text" w:horzAnchor="margin" w:tblpXSpec="center" w:tblpY="492"/>
        <w:tblW w:w="10699" w:type="dxa"/>
        <w:tblBorders>
          <w:top w:val="dashSmallGap" w:sz="4" w:space="0" w:color="AEAAAA" w:themeColor="background2" w:themeShade="BF"/>
          <w:left w:val="dashSmallGap" w:sz="4" w:space="0" w:color="AEAAAA" w:themeColor="background2" w:themeShade="BF"/>
          <w:bottom w:val="dashSmallGap" w:sz="4" w:space="0" w:color="AEAAAA" w:themeColor="background2" w:themeShade="BF"/>
          <w:right w:val="dashSmallGap" w:sz="4" w:space="0" w:color="AEAAAA" w:themeColor="background2" w:themeShade="BF"/>
          <w:insideH w:val="dashSmallGap" w:sz="4" w:space="0" w:color="AEAAAA" w:themeColor="background2" w:themeShade="BF"/>
          <w:insideV w:val="dashSmallGap" w:sz="4" w:space="0" w:color="AEAAAA" w:themeColor="background2" w:themeShade="BF"/>
        </w:tblBorders>
        <w:shd w:val="clear" w:color="auto" w:fill="FFFFFF" w:themeFill="background1"/>
        <w:tblLook w:val="04A0" w:firstRow="1" w:lastRow="0" w:firstColumn="1" w:lastColumn="0" w:noHBand="0" w:noVBand="1"/>
      </w:tblPr>
      <w:tblGrid>
        <w:gridCol w:w="3964"/>
        <w:gridCol w:w="6735"/>
      </w:tblGrid>
      <w:tr w:rsidR="00A01A59" w:rsidTr="00106235">
        <w:trPr>
          <w:trHeight w:val="274"/>
        </w:trPr>
        <w:tc>
          <w:tcPr>
            <w:tcW w:w="10699"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162724" w:rsidRDefault="00A01A59" w:rsidP="00106235">
            <w:pPr>
              <w:jc w:val="center"/>
              <w:rPr>
                <w:b/>
              </w:rPr>
            </w:pPr>
          </w:p>
        </w:tc>
      </w:tr>
      <w:tr w:rsidR="00A01A59" w:rsidTr="00106235">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rsidR="00525704" w:rsidRDefault="00525704" w:rsidP="00106235">
            <w:pPr>
              <w:rPr>
                <w:b/>
              </w:rPr>
            </w:pPr>
          </w:p>
          <w:p w:rsidR="00A01A59" w:rsidRPr="00162724" w:rsidRDefault="00A01A59" w:rsidP="00106235">
            <w:pPr>
              <w:rPr>
                <w:color w:val="FF0000"/>
              </w:rPr>
            </w:pPr>
            <w:r>
              <w:rPr>
                <w:b/>
              </w:rPr>
              <w:t>Week 1</w:t>
            </w:r>
            <w:r w:rsidRPr="00B7381E">
              <w:rPr>
                <w:b/>
              </w:rPr>
              <w:t>:</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rsidR="00525704" w:rsidRDefault="00525704" w:rsidP="006B3E97">
            <w:pPr>
              <w:rPr>
                <w:rFonts w:ascii="Arial" w:hAnsi="Arial" w:cs="Arial"/>
                <w:b/>
                <w:bCs/>
                <w:color w:val="000000"/>
                <w:sz w:val="20"/>
                <w:szCs w:val="20"/>
              </w:rPr>
            </w:pPr>
          </w:p>
          <w:p w:rsidR="00A01A59" w:rsidRPr="006B3E97" w:rsidRDefault="006B3E97" w:rsidP="006B3E97">
            <w:pPr>
              <w:rPr>
                <w:rFonts w:ascii="Arial" w:eastAsia="Times New Roman" w:hAnsi="Arial" w:cs="Arial"/>
                <w:b/>
                <w:bCs/>
                <w:color w:val="000000"/>
                <w:sz w:val="20"/>
                <w:szCs w:val="20"/>
              </w:rPr>
            </w:pPr>
            <w:r w:rsidRPr="006B3E97">
              <w:rPr>
                <w:rFonts w:ascii="Arial" w:hAnsi="Arial" w:cs="Arial"/>
                <w:b/>
                <w:bCs/>
                <w:color w:val="000000"/>
                <w:sz w:val="20"/>
                <w:szCs w:val="20"/>
              </w:rPr>
              <w:t>International Finance Law –</w:t>
            </w:r>
            <w:r w:rsidRPr="006B3E97">
              <w:rPr>
                <w:rFonts w:ascii="Arial" w:hAnsi="Arial" w:cs="Arial"/>
                <w:b/>
                <w:bCs/>
                <w:color w:val="000000"/>
                <w:sz w:val="20"/>
                <w:szCs w:val="20"/>
              </w:rPr>
              <w:tab/>
            </w:r>
            <w:r w:rsidRPr="006B3E97">
              <w:rPr>
                <w:rFonts w:ascii="Arial" w:hAnsi="Arial" w:cs="Arial"/>
                <w:b/>
                <w:bCs/>
                <w:color w:val="000000"/>
                <w:sz w:val="20"/>
                <w:szCs w:val="20"/>
              </w:rPr>
              <w:tab/>
              <w:t xml:space="preserve">                </w:t>
            </w:r>
            <w:r w:rsidR="00885284">
              <w:rPr>
                <w:rFonts w:ascii="Arial" w:hAnsi="Arial" w:cs="Arial"/>
                <w:b/>
                <w:bCs/>
                <w:color w:val="000000"/>
                <w:sz w:val="20"/>
                <w:szCs w:val="20"/>
              </w:rPr>
              <w:t xml:space="preserve"> </w:t>
            </w:r>
            <w:r w:rsidRPr="006B3E97">
              <w:rPr>
                <w:rFonts w:ascii="Arial" w:hAnsi="Arial" w:cs="Arial"/>
                <w:b/>
                <w:bCs/>
                <w:color w:val="000000"/>
                <w:sz w:val="20"/>
                <w:szCs w:val="20"/>
              </w:rPr>
              <w:t xml:space="preserve"> </w:t>
            </w:r>
            <w:r w:rsidR="00885284">
              <w:rPr>
                <w:rFonts w:ascii="Arial" w:hAnsi="Arial" w:cs="Arial"/>
                <w:b/>
                <w:bCs/>
                <w:color w:val="000000"/>
                <w:sz w:val="20"/>
                <w:szCs w:val="20"/>
              </w:rPr>
              <w:t xml:space="preserve">              </w:t>
            </w:r>
            <w:r w:rsidRPr="006B3E97">
              <w:rPr>
                <w:rFonts w:ascii="Arial" w:hAnsi="Arial" w:cs="Arial"/>
                <w:b/>
                <w:bCs/>
                <w:color w:val="000000"/>
                <w:sz w:val="20"/>
                <w:szCs w:val="20"/>
              </w:rPr>
              <w:t>Introduction to International Finance Law and Practice</w:t>
            </w:r>
          </w:p>
        </w:tc>
      </w:tr>
      <w:tr w:rsidR="00A01A59" w:rsidTr="00106235">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rsidR="00525704" w:rsidRDefault="00525704" w:rsidP="00106235">
            <w:pPr>
              <w:rPr>
                <w:b/>
              </w:rPr>
            </w:pPr>
          </w:p>
          <w:p w:rsidR="00A01A59" w:rsidRDefault="00A01A59" w:rsidP="00106235">
            <w:pPr>
              <w:rPr>
                <w:b/>
              </w:rPr>
            </w:pPr>
            <w:r>
              <w:rPr>
                <w:b/>
              </w:rPr>
              <w:t>Week 2</w:t>
            </w:r>
            <w:r w:rsidRPr="00B7381E">
              <w:rPr>
                <w:b/>
              </w:rPr>
              <w:t>:</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rsidR="00525704" w:rsidRDefault="00525704" w:rsidP="006B3E97">
            <w:pPr>
              <w:rPr>
                <w:rFonts w:ascii="Arial" w:hAnsi="Arial" w:cs="Arial"/>
                <w:b/>
                <w:bCs/>
                <w:color w:val="000000"/>
                <w:sz w:val="20"/>
                <w:szCs w:val="20"/>
              </w:rPr>
            </w:pPr>
          </w:p>
          <w:p w:rsidR="00A01A59" w:rsidRPr="00885284" w:rsidRDefault="006B3E97" w:rsidP="006B3E97">
            <w:pPr>
              <w:rPr>
                <w:rFonts w:ascii="Arial" w:eastAsia="Times New Roman" w:hAnsi="Arial" w:cs="Arial"/>
                <w:b/>
                <w:bCs/>
                <w:color w:val="000000"/>
                <w:sz w:val="20"/>
                <w:szCs w:val="20"/>
              </w:rPr>
            </w:pPr>
            <w:r w:rsidRPr="00885284">
              <w:rPr>
                <w:rFonts w:ascii="Arial" w:hAnsi="Arial" w:cs="Arial"/>
                <w:b/>
                <w:bCs/>
                <w:color w:val="000000"/>
                <w:sz w:val="20"/>
                <w:szCs w:val="20"/>
              </w:rPr>
              <w:t>International Finance Markets –</w:t>
            </w:r>
            <w:r w:rsidRPr="00885284">
              <w:rPr>
                <w:rFonts w:ascii="Arial" w:hAnsi="Arial" w:cs="Arial"/>
                <w:b/>
                <w:color w:val="000000"/>
                <w:sz w:val="20"/>
                <w:szCs w:val="20"/>
              </w:rPr>
              <w:tab/>
              <w:t xml:space="preserve">                         </w:t>
            </w:r>
            <w:r w:rsidR="00885284">
              <w:rPr>
                <w:rFonts w:ascii="Arial" w:hAnsi="Arial" w:cs="Arial"/>
                <w:b/>
                <w:color w:val="000000"/>
                <w:sz w:val="20"/>
                <w:szCs w:val="20"/>
              </w:rPr>
              <w:t xml:space="preserve">           </w:t>
            </w:r>
            <w:r w:rsidRPr="00885284">
              <w:rPr>
                <w:rFonts w:ascii="Arial" w:hAnsi="Arial" w:cs="Arial"/>
                <w:b/>
                <w:bCs/>
                <w:color w:val="000000"/>
                <w:sz w:val="20"/>
                <w:szCs w:val="20"/>
              </w:rPr>
              <w:t>Structure, Operation and Regulation</w:t>
            </w:r>
          </w:p>
        </w:tc>
      </w:tr>
      <w:tr w:rsidR="00A01A59" w:rsidTr="00106235">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rsidR="00525704" w:rsidRDefault="00525704" w:rsidP="00106235">
            <w:pPr>
              <w:rPr>
                <w:b/>
              </w:rPr>
            </w:pPr>
          </w:p>
          <w:p w:rsidR="00A01A59" w:rsidRDefault="00A01A59" w:rsidP="00106235">
            <w:pPr>
              <w:rPr>
                <w:b/>
              </w:rPr>
            </w:pPr>
            <w:r>
              <w:rPr>
                <w:b/>
              </w:rPr>
              <w:t>Week 3</w:t>
            </w:r>
            <w:r w:rsidRPr="00B7381E">
              <w:rPr>
                <w:b/>
              </w:rPr>
              <w:t>:</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rsidR="00525704" w:rsidRDefault="00525704" w:rsidP="00885284">
            <w:pPr>
              <w:rPr>
                <w:rFonts w:ascii="Arial" w:hAnsi="Arial" w:cs="Arial"/>
                <w:b/>
                <w:bCs/>
                <w:color w:val="000000"/>
                <w:sz w:val="20"/>
                <w:szCs w:val="20"/>
              </w:rPr>
            </w:pPr>
          </w:p>
          <w:p w:rsidR="00885284" w:rsidRPr="00885284" w:rsidRDefault="00885284" w:rsidP="00885284">
            <w:pPr>
              <w:rPr>
                <w:rFonts w:ascii="Arial" w:eastAsia="Times New Roman" w:hAnsi="Arial" w:cs="Arial"/>
                <w:b/>
                <w:bCs/>
                <w:color w:val="000000"/>
                <w:sz w:val="20"/>
                <w:szCs w:val="20"/>
              </w:rPr>
            </w:pPr>
            <w:r w:rsidRPr="00885284">
              <w:rPr>
                <w:rFonts w:ascii="Arial" w:hAnsi="Arial" w:cs="Arial"/>
                <w:b/>
                <w:bCs/>
                <w:color w:val="000000"/>
                <w:sz w:val="20"/>
                <w:szCs w:val="20"/>
              </w:rPr>
              <w:t>Internat</w:t>
            </w:r>
            <w:r>
              <w:rPr>
                <w:rFonts w:ascii="Arial" w:hAnsi="Arial" w:cs="Arial"/>
                <w:b/>
                <w:bCs/>
                <w:color w:val="000000"/>
                <w:sz w:val="20"/>
                <w:szCs w:val="20"/>
              </w:rPr>
              <w:t xml:space="preserve">ional Loan Markets –  </w:t>
            </w:r>
            <w:r>
              <w:rPr>
                <w:rFonts w:ascii="Arial" w:hAnsi="Arial" w:cs="Arial"/>
                <w:b/>
                <w:bCs/>
                <w:color w:val="000000"/>
                <w:sz w:val="20"/>
                <w:szCs w:val="20"/>
              </w:rPr>
              <w:tab/>
            </w:r>
            <w:r>
              <w:rPr>
                <w:rFonts w:ascii="Arial" w:hAnsi="Arial" w:cs="Arial"/>
                <w:b/>
                <w:bCs/>
                <w:color w:val="000000"/>
                <w:sz w:val="20"/>
                <w:szCs w:val="20"/>
              </w:rPr>
              <w:tab/>
              <w:t xml:space="preserve">                                   </w:t>
            </w:r>
            <w:r w:rsidRPr="00885284">
              <w:rPr>
                <w:rFonts w:ascii="Arial" w:hAnsi="Arial" w:cs="Arial"/>
                <w:b/>
                <w:bCs/>
                <w:color w:val="000000"/>
                <w:sz w:val="20"/>
                <w:szCs w:val="20"/>
              </w:rPr>
              <w:t>Eurodollar Market Development, Parties and Documentation</w:t>
            </w:r>
          </w:p>
          <w:p w:rsidR="00A01A59" w:rsidRPr="00162724" w:rsidRDefault="00885284" w:rsidP="00885284">
            <w:pPr>
              <w:rPr>
                <w:color w:val="FF0000"/>
              </w:rPr>
            </w:pPr>
            <w:r w:rsidRPr="00885284">
              <w:rPr>
                <w:rFonts w:ascii="Arial" w:hAnsi="Arial" w:cs="Arial"/>
                <w:b/>
                <w:color w:val="000000"/>
                <w:sz w:val="20"/>
                <w:szCs w:val="20"/>
              </w:rPr>
              <w:t>Bank Syndication and Euro Lending</w:t>
            </w:r>
          </w:p>
        </w:tc>
      </w:tr>
      <w:tr w:rsidR="00A01A59" w:rsidTr="00106235">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rsidR="00525704" w:rsidRDefault="00525704" w:rsidP="00106235">
            <w:pPr>
              <w:rPr>
                <w:b/>
              </w:rPr>
            </w:pPr>
          </w:p>
          <w:p w:rsidR="00A01A59" w:rsidRDefault="00A01A59" w:rsidP="00106235">
            <w:pPr>
              <w:rPr>
                <w:b/>
              </w:rPr>
            </w:pPr>
            <w:r>
              <w:rPr>
                <w:b/>
              </w:rPr>
              <w:t>Week 4</w:t>
            </w:r>
            <w:r w:rsidRPr="00B7381E">
              <w:rPr>
                <w:b/>
              </w:rPr>
              <w:t>:</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rsidR="00525704" w:rsidRDefault="00525704" w:rsidP="00885284">
            <w:pPr>
              <w:ind w:left="1440" w:hanging="1440"/>
              <w:rPr>
                <w:rFonts w:ascii="Arial" w:hAnsi="Arial" w:cs="Arial"/>
                <w:b/>
                <w:bCs/>
                <w:color w:val="000000"/>
                <w:sz w:val="20"/>
                <w:szCs w:val="20"/>
              </w:rPr>
            </w:pPr>
          </w:p>
          <w:p w:rsidR="00885284" w:rsidRDefault="00885284" w:rsidP="00885284">
            <w:pPr>
              <w:ind w:left="1440" w:hanging="1440"/>
              <w:rPr>
                <w:rFonts w:ascii="Arial" w:eastAsia="Times New Roman" w:hAnsi="Arial" w:cs="Arial"/>
                <w:b/>
                <w:bCs/>
                <w:color w:val="000000"/>
                <w:sz w:val="20"/>
                <w:szCs w:val="20"/>
              </w:rPr>
            </w:pPr>
            <w:r w:rsidRPr="00885284">
              <w:rPr>
                <w:rFonts w:ascii="Arial" w:hAnsi="Arial" w:cs="Arial"/>
                <w:b/>
                <w:bCs/>
                <w:color w:val="000000"/>
                <w:sz w:val="20"/>
                <w:szCs w:val="20"/>
              </w:rPr>
              <w:t xml:space="preserve">International Loan Markets – </w:t>
            </w:r>
            <w:r w:rsidRPr="00885284">
              <w:rPr>
                <w:rFonts w:ascii="Arial" w:hAnsi="Arial" w:cs="Arial"/>
                <w:b/>
                <w:bCs/>
                <w:color w:val="000000"/>
                <w:sz w:val="20"/>
                <w:szCs w:val="20"/>
              </w:rPr>
              <w:tab/>
            </w:r>
            <w:r w:rsidRPr="00885284">
              <w:rPr>
                <w:rFonts w:ascii="Arial" w:hAnsi="Arial" w:cs="Arial"/>
                <w:b/>
                <w:bCs/>
                <w:color w:val="000000"/>
                <w:sz w:val="20"/>
                <w:szCs w:val="20"/>
              </w:rPr>
              <w:tab/>
            </w:r>
            <w:r w:rsidRPr="00885284">
              <w:rPr>
                <w:rFonts w:ascii="Arial" w:hAnsi="Arial" w:cs="Arial"/>
                <w:b/>
                <w:bCs/>
                <w:color w:val="000000"/>
                <w:sz w:val="20"/>
                <w:szCs w:val="20"/>
              </w:rPr>
              <w:tab/>
            </w:r>
            <w:r w:rsidRPr="00885284">
              <w:rPr>
                <w:rFonts w:ascii="Arial" w:hAnsi="Arial" w:cs="Arial"/>
                <w:b/>
                <w:bCs/>
                <w:color w:val="000000"/>
                <w:sz w:val="20"/>
                <w:szCs w:val="20"/>
              </w:rPr>
              <w:tab/>
            </w:r>
            <w:r>
              <w:rPr>
                <w:rFonts w:ascii="Arial" w:eastAsia="Times New Roman" w:hAnsi="Arial" w:cs="Arial"/>
                <w:b/>
                <w:bCs/>
                <w:color w:val="000000"/>
                <w:sz w:val="20"/>
                <w:szCs w:val="20"/>
              </w:rPr>
              <w:t xml:space="preserve">                 </w:t>
            </w:r>
          </w:p>
          <w:p w:rsidR="00A01A59" w:rsidRPr="00885284" w:rsidRDefault="00885284" w:rsidP="00885284">
            <w:pPr>
              <w:ind w:left="1440" w:hanging="1440"/>
              <w:rPr>
                <w:rFonts w:ascii="Arial" w:eastAsia="Times New Roman" w:hAnsi="Arial" w:cs="Arial"/>
                <w:b/>
                <w:bCs/>
                <w:color w:val="000000"/>
                <w:sz w:val="20"/>
                <w:szCs w:val="20"/>
              </w:rPr>
            </w:pPr>
            <w:r w:rsidRPr="00885284">
              <w:rPr>
                <w:rFonts w:ascii="Arial" w:hAnsi="Arial" w:cs="Arial"/>
                <w:b/>
                <w:bCs/>
                <w:color w:val="000000"/>
                <w:sz w:val="20"/>
                <w:szCs w:val="20"/>
              </w:rPr>
              <w:t>Term Credits and the Loan Market Association (LMA)</w:t>
            </w:r>
            <w:r>
              <w:rPr>
                <w:rFonts w:ascii="Arial" w:eastAsia="Times New Roman" w:hAnsi="Arial" w:cs="Arial"/>
                <w:b/>
                <w:bCs/>
                <w:color w:val="000000"/>
                <w:sz w:val="20"/>
                <w:szCs w:val="20"/>
              </w:rPr>
              <w:t xml:space="preserve"> </w:t>
            </w:r>
          </w:p>
        </w:tc>
      </w:tr>
      <w:tr w:rsidR="00A01A59" w:rsidTr="00106235">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rsidR="00525704" w:rsidRDefault="00525704" w:rsidP="00106235">
            <w:pPr>
              <w:rPr>
                <w:b/>
              </w:rPr>
            </w:pPr>
          </w:p>
          <w:p w:rsidR="00A01A59" w:rsidRDefault="00A01A59" w:rsidP="00106235">
            <w:pPr>
              <w:rPr>
                <w:b/>
              </w:rPr>
            </w:pPr>
            <w:r>
              <w:rPr>
                <w:b/>
              </w:rPr>
              <w:t>Week 5</w:t>
            </w:r>
            <w:r w:rsidRPr="00B7381E">
              <w:rPr>
                <w:b/>
              </w:rPr>
              <w:t>:</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rsidR="00525704" w:rsidRDefault="00525704" w:rsidP="00525704">
            <w:pPr>
              <w:rPr>
                <w:rFonts w:ascii="Arial" w:hAnsi="Arial" w:cs="Arial"/>
                <w:b/>
                <w:color w:val="000000"/>
              </w:rPr>
            </w:pPr>
          </w:p>
          <w:p w:rsidR="00525704" w:rsidRPr="00642BD4" w:rsidRDefault="00525704" w:rsidP="00525704">
            <w:pPr>
              <w:rPr>
                <w:rFonts w:ascii="Arial" w:hAnsi="Arial" w:cs="Arial"/>
                <w:b/>
                <w:color w:val="000000"/>
                <w:sz w:val="20"/>
                <w:szCs w:val="20"/>
              </w:rPr>
            </w:pPr>
            <w:r w:rsidRPr="00642BD4">
              <w:rPr>
                <w:rFonts w:ascii="Arial" w:hAnsi="Arial" w:cs="Arial"/>
                <w:b/>
                <w:color w:val="000000"/>
                <w:sz w:val="20"/>
                <w:szCs w:val="20"/>
              </w:rPr>
              <w:t xml:space="preserve">Stock </w:t>
            </w:r>
            <w:r w:rsidRPr="00642BD4">
              <w:rPr>
                <w:rFonts w:ascii="Arial" w:hAnsi="Arial" w:cs="Arial"/>
                <w:b/>
                <w:bCs/>
                <w:color w:val="000000"/>
                <w:sz w:val="20"/>
                <w:szCs w:val="20"/>
              </w:rPr>
              <w:t>Markets &amp; Exchanges - Sale &amp; Repurchase (Repos)</w:t>
            </w:r>
          </w:p>
          <w:p w:rsidR="00A01A59" w:rsidRPr="00885284" w:rsidRDefault="00A01A59" w:rsidP="00885284">
            <w:pPr>
              <w:rPr>
                <w:rFonts w:ascii="Arial" w:eastAsia="Times New Roman" w:hAnsi="Arial" w:cs="Arial"/>
                <w:b/>
                <w:bCs/>
                <w:color w:val="000000"/>
                <w:sz w:val="20"/>
                <w:szCs w:val="20"/>
              </w:rPr>
            </w:pPr>
          </w:p>
        </w:tc>
      </w:tr>
      <w:tr w:rsidR="00A01A59" w:rsidTr="00106235">
        <w:trPr>
          <w:trHeight w:val="274"/>
        </w:trPr>
        <w:tc>
          <w:tcPr>
            <w:tcW w:w="10699"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E16F7C" w:rsidRDefault="00A01A59" w:rsidP="00106235">
            <w:pPr>
              <w:jc w:val="center"/>
              <w:rPr>
                <w:b/>
                <w:color w:val="FF0000"/>
                <w:sz w:val="28"/>
                <w:szCs w:val="28"/>
              </w:rPr>
            </w:pPr>
            <w:r w:rsidRPr="00E16F7C">
              <w:rPr>
                <w:b/>
                <w:sz w:val="28"/>
                <w:szCs w:val="28"/>
              </w:rPr>
              <w:t>WEEK 6  - STUDY WEEK</w:t>
            </w:r>
          </w:p>
        </w:tc>
      </w:tr>
      <w:tr w:rsidR="00A01A59" w:rsidRPr="00885284" w:rsidTr="00106235">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Default="00A01A59" w:rsidP="00106235">
            <w:pPr>
              <w:rPr>
                <w:b/>
              </w:rPr>
            </w:pPr>
            <w:r>
              <w:rPr>
                <w:b/>
              </w:rPr>
              <w:t>Week 7:</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885284" w:rsidRDefault="004726D3" w:rsidP="00885284">
            <w:pPr>
              <w:rPr>
                <w:color w:val="FF0000"/>
                <w:sz w:val="20"/>
                <w:szCs w:val="20"/>
              </w:rPr>
            </w:pPr>
            <w:r w:rsidRPr="00885284">
              <w:rPr>
                <w:rFonts w:ascii="Arial" w:hAnsi="Arial" w:cs="Arial"/>
                <w:b/>
                <w:bCs/>
                <w:color w:val="000000"/>
                <w:sz w:val="20"/>
                <w:szCs w:val="20"/>
              </w:rPr>
              <w:t>International Bond Market –</w:t>
            </w:r>
            <w:r w:rsidRPr="00885284">
              <w:rPr>
                <w:rFonts w:ascii="Arial" w:hAnsi="Arial" w:cs="Arial"/>
                <w:b/>
                <w:bCs/>
                <w:color w:val="000000"/>
                <w:sz w:val="20"/>
                <w:szCs w:val="20"/>
              </w:rPr>
              <w:tab/>
            </w:r>
            <w:r w:rsidRPr="00885284">
              <w:rPr>
                <w:rFonts w:ascii="Arial" w:hAnsi="Arial" w:cs="Arial"/>
                <w:b/>
                <w:bCs/>
                <w:color w:val="000000"/>
                <w:sz w:val="20"/>
                <w:szCs w:val="20"/>
              </w:rPr>
              <w:tab/>
            </w:r>
            <w:r w:rsidRPr="00885284">
              <w:rPr>
                <w:rFonts w:ascii="Arial" w:hAnsi="Arial" w:cs="Arial"/>
                <w:b/>
                <w:bCs/>
                <w:color w:val="000000"/>
                <w:sz w:val="20"/>
                <w:szCs w:val="20"/>
              </w:rPr>
              <w:tab/>
            </w:r>
            <w:r>
              <w:rPr>
                <w:rFonts w:ascii="Arial" w:eastAsia="Times New Roman" w:hAnsi="Arial" w:cs="Arial"/>
                <w:b/>
                <w:bCs/>
                <w:color w:val="000000"/>
                <w:sz w:val="20"/>
                <w:szCs w:val="20"/>
              </w:rPr>
              <w:t xml:space="preserve">                      </w:t>
            </w:r>
            <w:r w:rsidRPr="00885284">
              <w:rPr>
                <w:rFonts w:ascii="Arial" w:hAnsi="Arial" w:cs="Arial"/>
                <w:b/>
                <w:bCs/>
                <w:color w:val="000000"/>
                <w:sz w:val="20"/>
                <w:szCs w:val="20"/>
              </w:rPr>
              <w:t>Euronotes and Commercial Paper (CP) Markets</w:t>
            </w:r>
          </w:p>
        </w:tc>
      </w:tr>
      <w:tr w:rsidR="00A01A59" w:rsidRPr="00885284" w:rsidTr="00106235">
        <w:trPr>
          <w:trHeight w:val="993"/>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Default="00A01A59" w:rsidP="00106235">
            <w:pPr>
              <w:rPr>
                <w:b/>
              </w:rPr>
            </w:pPr>
            <w:r>
              <w:rPr>
                <w:b/>
              </w:rPr>
              <w:t>Week 8:</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rsidR="004726D3" w:rsidRDefault="004726D3" w:rsidP="004726D3">
            <w:pPr>
              <w:rPr>
                <w:rFonts w:ascii="Arial" w:hAnsi="Arial" w:cs="Arial"/>
                <w:b/>
                <w:bCs/>
                <w:color w:val="000000"/>
              </w:rPr>
            </w:pPr>
          </w:p>
          <w:p w:rsidR="00A01A59" w:rsidRPr="00642BD4" w:rsidRDefault="004726D3" w:rsidP="004726D3">
            <w:pPr>
              <w:rPr>
                <w:rFonts w:ascii="Arial" w:eastAsia="Times New Roman" w:hAnsi="Arial" w:cs="Arial"/>
                <w:b/>
                <w:bCs/>
                <w:color w:val="000000"/>
                <w:sz w:val="20"/>
                <w:szCs w:val="20"/>
              </w:rPr>
            </w:pPr>
            <w:r w:rsidRPr="00642BD4">
              <w:rPr>
                <w:rFonts w:ascii="Arial" w:hAnsi="Arial" w:cs="Arial"/>
                <w:b/>
                <w:bCs/>
                <w:color w:val="000000"/>
                <w:sz w:val="20"/>
                <w:szCs w:val="20"/>
              </w:rPr>
              <w:t>International Finance - Banker’s Overview</w:t>
            </w:r>
          </w:p>
        </w:tc>
      </w:tr>
      <w:tr w:rsidR="00A01A59" w:rsidTr="00106235">
        <w:trPr>
          <w:trHeight w:val="979"/>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Default="00A01A59" w:rsidP="00106235">
            <w:pPr>
              <w:rPr>
                <w:b/>
              </w:rPr>
            </w:pPr>
            <w:r>
              <w:rPr>
                <w:b/>
              </w:rPr>
              <w:t>Week 9:</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rsidR="004726D3" w:rsidRDefault="004726D3" w:rsidP="00885284">
            <w:pPr>
              <w:rPr>
                <w:color w:val="FF0000"/>
                <w:sz w:val="20"/>
                <w:szCs w:val="20"/>
              </w:rPr>
            </w:pPr>
          </w:p>
          <w:p w:rsidR="00A01A59" w:rsidRPr="00642BD4" w:rsidRDefault="004726D3" w:rsidP="004726D3">
            <w:pPr>
              <w:rPr>
                <w:sz w:val="20"/>
                <w:szCs w:val="20"/>
              </w:rPr>
            </w:pPr>
            <w:r w:rsidRPr="00642BD4">
              <w:rPr>
                <w:rFonts w:ascii="Arial" w:hAnsi="Arial" w:cs="Arial"/>
                <w:b/>
                <w:bCs/>
                <w:color w:val="000000"/>
                <w:sz w:val="20"/>
                <w:szCs w:val="20"/>
              </w:rPr>
              <w:t>International Finance - Banker’s Overview II</w:t>
            </w:r>
          </w:p>
        </w:tc>
      </w:tr>
      <w:tr w:rsidR="00A01A59" w:rsidTr="00106235">
        <w:trPr>
          <w:trHeight w:val="1120"/>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Default="00A01A59" w:rsidP="00106235">
            <w:pPr>
              <w:rPr>
                <w:b/>
              </w:rPr>
            </w:pPr>
            <w:r>
              <w:rPr>
                <w:b/>
              </w:rPr>
              <w:t>Week 10:</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rsidR="004726D3" w:rsidRDefault="004726D3" w:rsidP="00885284">
            <w:pPr>
              <w:rPr>
                <w:rFonts w:ascii="Arial" w:hAnsi="Arial" w:cs="Arial"/>
                <w:b/>
                <w:bCs/>
                <w:color w:val="000000"/>
              </w:rPr>
            </w:pPr>
          </w:p>
          <w:p w:rsidR="00A01A59" w:rsidRPr="00642BD4" w:rsidRDefault="004726D3" w:rsidP="00885284">
            <w:pPr>
              <w:rPr>
                <w:rFonts w:ascii="Arial" w:eastAsia="Times New Roman" w:hAnsi="Arial" w:cs="Arial"/>
                <w:b/>
                <w:bCs/>
                <w:color w:val="000000"/>
                <w:sz w:val="20"/>
                <w:szCs w:val="20"/>
              </w:rPr>
            </w:pPr>
            <w:r w:rsidRPr="00642BD4">
              <w:rPr>
                <w:rFonts w:ascii="Arial" w:hAnsi="Arial" w:cs="Arial"/>
                <w:b/>
                <w:bCs/>
                <w:color w:val="000000"/>
                <w:sz w:val="20"/>
                <w:szCs w:val="20"/>
              </w:rPr>
              <w:t>International Finance Negotiation Skills</w:t>
            </w:r>
          </w:p>
        </w:tc>
      </w:tr>
      <w:tr w:rsidR="00A01A59" w:rsidTr="00106235">
        <w:trPr>
          <w:trHeight w:val="88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Default="00A01A59" w:rsidP="00106235">
            <w:pPr>
              <w:rPr>
                <w:b/>
              </w:rPr>
            </w:pPr>
            <w:r>
              <w:rPr>
                <w:b/>
              </w:rPr>
              <w:t>Week 11:</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885284" w:rsidRDefault="004726D3" w:rsidP="004726D3">
            <w:pPr>
              <w:rPr>
                <w:rFonts w:ascii="Arial" w:eastAsia="Times New Roman" w:hAnsi="Arial" w:cs="Arial"/>
                <w:b/>
                <w:color w:val="000000"/>
                <w:sz w:val="20"/>
                <w:szCs w:val="20"/>
              </w:rPr>
            </w:pPr>
            <w:r>
              <w:rPr>
                <w:rFonts w:ascii="Arial" w:hAnsi="Arial" w:cs="Arial"/>
                <w:b/>
                <w:color w:val="000000"/>
                <w:sz w:val="20"/>
                <w:szCs w:val="20"/>
              </w:rPr>
              <w:t>Market</w:t>
            </w:r>
            <w:r w:rsidR="00885284" w:rsidRPr="00885284">
              <w:rPr>
                <w:rFonts w:ascii="Arial" w:hAnsi="Arial" w:cs="Arial"/>
                <w:b/>
                <w:color w:val="000000"/>
                <w:sz w:val="20"/>
                <w:szCs w:val="20"/>
              </w:rPr>
              <w:t xml:space="preserve"> Regulation and Full Course Review</w:t>
            </w:r>
          </w:p>
        </w:tc>
      </w:tr>
    </w:tbl>
    <w:p w:rsidR="00A01A59" w:rsidRDefault="00A01A59" w:rsidP="00A01A59"/>
    <w:tbl>
      <w:tblPr>
        <w:tblpPr w:leftFromText="180" w:rightFromText="180" w:vertAnchor="text" w:horzAnchor="margin" w:tblpXSpec="center" w:tblpY="160"/>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A01A59" w:rsidTr="00106235">
        <w:trPr>
          <w:trHeight w:val="170"/>
        </w:trPr>
        <w:tc>
          <w:tcPr>
            <w:tcW w:w="10748" w:type="dxa"/>
            <w:tcBorders>
              <w:top w:val="nil"/>
              <w:left w:val="nil"/>
              <w:bottom w:val="nil"/>
              <w:right w:val="nil"/>
            </w:tcBorders>
            <w:shd w:val="clear" w:color="auto" w:fill="D3E5F9"/>
            <w:vAlign w:val="center"/>
          </w:tcPr>
          <w:p w:rsidR="00A01A59" w:rsidRPr="00BB03C8" w:rsidRDefault="00A01A59" w:rsidP="00106235">
            <w:pPr>
              <w:jc w:val="center"/>
              <w:rPr>
                <w:b/>
              </w:rPr>
            </w:pPr>
            <w:bookmarkStart w:id="0" w:name="_GoBack"/>
            <w:bookmarkEnd w:id="0"/>
            <w:r>
              <w:rPr>
                <w:b/>
                <w:sz w:val="24"/>
              </w:rPr>
              <w:t xml:space="preserve">Reading List </w:t>
            </w:r>
          </w:p>
        </w:tc>
      </w:tr>
    </w:tbl>
    <w:tbl>
      <w:tblPr>
        <w:tblStyle w:val="TableGrid"/>
        <w:tblpPr w:leftFromText="180" w:rightFromText="180" w:vertAnchor="text" w:horzAnchor="page" w:tblpX="621" w:tblpY="860"/>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627"/>
      </w:tblGrid>
      <w:tr w:rsidR="00A01A59" w:rsidTr="00106235">
        <w:trPr>
          <w:trHeight w:val="964"/>
        </w:trPr>
        <w:tc>
          <w:tcPr>
            <w:tcW w:w="10627" w:type="dxa"/>
            <w:tcBorders>
              <w:top w:val="dotted" w:sz="4" w:space="0" w:color="auto"/>
              <w:left w:val="dotted" w:sz="4" w:space="0" w:color="auto"/>
              <w:bottom w:val="dotted" w:sz="4" w:space="0" w:color="auto"/>
              <w:right w:val="dotted" w:sz="4" w:space="0" w:color="auto"/>
            </w:tcBorders>
            <w:shd w:val="clear" w:color="auto" w:fill="FFFFFF" w:themeFill="background1"/>
          </w:tcPr>
          <w:p w:rsidR="00885284" w:rsidRPr="00885284" w:rsidRDefault="00885284" w:rsidP="00106235">
            <w:pPr>
              <w:rPr>
                <w:color w:val="FF0000"/>
                <w:sz w:val="24"/>
              </w:rPr>
            </w:pPr>
            <w:r>
              <w:rPr>
                <w:rFonts w:cs="TimesNewRomanPSMT"/>
                <w:b/>
              </w:rPr>
              <w:t>There is no single book that covers all aspects of th</w:t>
            </w:r>
            <w:r>
              <w:rPr>
                <w:rFonts w:cs="TimesNewRomanPSMT"/>
                <w:b/>
                <w:szCs w:val="22"/>
              </w:rPr>
              <w:t>e International Finance course. No specific text has to be bought with everything required b</w:t>
            </w:r>
            <w:r w:rsidR="00EA0D11">
              <w:rPr>
                <w:rFonts w:cs="TimesNewRomanPSMT"/>
                <w:b/>
                <w:szCs w:val="22"/>
              </w:rPr>
              <w:t xml:space="preserve">eing provided in class or on </w:t>
            </w:r>
            <w:r>
              <w:rPr>
                <w:rFonts w:cs="TimesNewRomanPSMT"/>
                <w:b/>
                <w:szCs w:val="22"/>
              </w:rPr>
              <w:t xml:space="preserve">QMplus. A full Introductory paper to the course </w:t>
            </w:r>
            <w:r>
              <w:rPr>
                <w:rFonts w:asciiTheme="minorHAnsi" w:hAnsiTheme="minorHAnsi" w:cs="TimesNewRomanPSMT"/>
                <w:b/>
                <w:szCs w:val="22"/>
              </w:rPr>
              <w:t>which provides all necessary background information and reviews all of the core material covered is available on the QMplus.</w:t>
            </w:r>
          </w:p>
        </w:tc>
      </w:tr>
      <w:tr w:rsidR="00A01A59" w:rsidTr="00106235">
        <w:trPr>
          <w:trHeight w:val="964"/>
        </w:trPr>
        <w:tc>
          <w:tcPr>
            <w:tcW w:w="10627"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B7381E" w:rsidRDefault="00885284" w:rsidP="00106235">
            <w:pPr>
              <w:jc w:val="both"/>
              <w:rPr>
                <w:b/>
              </w:rPr>
            </w:pPr>
            <w:r>
              <w:rPr>
                <w:rFonts w:asciiTheme="minorHAnsi" w:hAnsiTheme="minorHAnsi" w:cs="TimesNewRomanPSMT"/>
                <w:b/>
                <w:szCs w:val="22"/>
              </w:rPr>
              <w:t>Some of the principal texts that may of use to students by way of background or for further research or review purposes include the following -</w:t>
            </w:r>
          </w:p>
        </w:tc>
      </w:tr>
      <w:tr w:rsidR="00A01A59" w:rsidTr="00106235">
        <w:trPr>
          <w:trHeight w:val="964"/>
        </w:trPr>
        <w:tc>
          <w:tcPr>
            <w:tcW w:w="10627" w:type="dxa"/>
            <w:tcBorders>
              <w:top w:val="dotted" w:sz="4" w:space="0" w:color="auto"/>
              <w:left w:val="dotted" w:sz="4" w:space="0" w:color="auto"/>
              <w:bottom w:val="dotted" w:sz="4" w:space="0" w:color="auto"/>
              <w:right w:val="dotted" w:sz="4" w:space="0" w:color="auto"/>
            </w:tcBorders>
            <w:shd w:val="clear" w:color="auto" w:fill="FFFFFF" w:themeFill="background1"/>
          </w:tcPr>
          <w:p w:rsidR="00885284" w:rsidRDefault="00885284" w:rsidP="00885284">
            <w:pPr>
              <w:jc w:val="both"/>
              <w:rPr>
                <w:rFonts w:asciiTheme="minorHAnsi" w:hAnsiTheme="minorHAnsi"/>
                <w:b/>
                <w:szCs w:val="22"/>
              </w:rPr>
            </w:pPr>
            <w:r>
              <w:rPr>
                <w:rFonts w:asciiTheme="minorHAnsi" w:hAnsiTheme="minorHAnsi"/>
                <w:b/>
                <w:bCs/>
                <w:szCs w:val="22"/>
              </w:rPr>
              <w:t xml:space="preserve">Philip Wood’s </w:t>
            </w:r>
            <w:r>
              <w:rPr>
                <w:rFonts w:asciiTheme="minorHAnsi" w:hAnsiTheme="minorHAnsi"/>
                <w:b/>
                <w:i/>
                <w:szCs w:val="22"/>
              </w:rPr>
              <w:t xml:space="preserve">Law and Practice of International Finance </w:t>
            </w:r>
            <w:r>
              <w:rPr>
                <w:rFonts w:asciiTheme="minorHAnsi" w:hAnsiTheme="minorHAnsi"/>
                <w:b/>
                <w:szCs w:val="22"/>
              </w:rPr>
              <w:t>(</w:t>
            </w:r>
            <w:r>
              <w:rPr>
                <w:rFonts w:asciiTheme="minorHAnsi" w:hAnsiTheme="minorHAnsi"/>
                <w:b/>
                <w:bCs/>
                <w:i/>
                <w:szCs w:val="22"/>
              </w:rPr>
              <w:t xml:space="preserve">Sweet &amp; Maxwell </w:t>
            </w:r>
            <w:r>
              <w:rPr>
                <w:rFonts w:asciiTheme="minorHAnsi" w:hAnsiTheme="minorHAnsi"/>
                <w:b/>
                <w:szCs w:val="22"/>
              </w:rPr>
              <w:t>2019)</w:t>
            </w:r>
          </w:p>
          <w:p w:rsidR="00885284" w:rsidRDefault="00885284" w:rsidP="00885284">
            <w:pPr>
              <w:jc w:val="both"/>
              <w:rPr>
                <w:rFonts w:asciiTheme="minorHAnsi" w:hAnsiTheme="minorHAnsi"/>
                <w:b/>
                <w:szCs w:val="22"/>
              </w:rPr>
            </w:pPr>
            <w:r>
              <w:rPr>
                <w:rFonts w:asciiTheme="minorHAnsi" w:hAnsiTheme="minorHAnsi"/>
                <w:b/>
                <w:szCs w:val="22"/>
              </w:rPr>
              <w:t xml:space="preserve">Philip Wood, </w:t>
            </w:r>
            <w:r>
              <w:rPr>
                <w:rFonts w:asciiTheme="minorHAnsi" w:hAnsiTheme="minorHAnsi"/>
                <w:b/>
                <w:i/>
                <w:szCs w:val="22"/>
              </w:rPr>
              <w:t>Law and Practice of International Finance</w:t>
            </w:r>
            <w:r>
              <w:rPr>
                <w:rFonts w:asciiTheme="minorHAnsi" w:hAnsiTheme="minorHAnsi"/>
                <w:b/>
                <w:szCs w:val="22"/>
              </w:rPr>
              <w:t>, University Edition (Thomson Reuters Sweet &amp; Maxwell, 2008)</w:t>
            </w:r>
          </w:p>
          <w:p w:rsidR="00885284" w:rsidRDefault="00885284" w:rsidP="00885284">
            <w:pPr>
              <w:jc w:val="both"/>
              <w:rPr>
                <w:rFonts w:asciiTheme="minorHAnsi" w:hAnsiTheme="minorHAnsi"/>
                <w:b/>
                <w:iCs/>
                <w:szCs w:val="22"/>
              </w:rPr>
            </w:pPr>
            <w:r>
              <w:rPr>
                <w:rFonts w:asciiTheme="minorHAnsi" w:hAnsiTheme="minorHAnsi"/>
                <w:b/>
                <w:szCs w:val="22"/>
              </w:rPr>
              <w:t xml:space="preserve">A McKnight, S Paterson and R Zakrzewski, The Law of International Finance </w:t>
            </w:r>
            <w:r>
              <w:rPr>
                <w:rFonts w:asciiTheme="minorHAnsi" w:hAnsiTheme="minorHAnsi"/>
                <w:b/>
                <w:bCs/>
                <w:szCs w:val="22"/>
              </w:rPr>
              <w:t>(OUP Oxford 2017)</w:t>
            </w:r>
          </w:p>
          <w:p w:rsidR="00885284" w:rsidRDefault="00885284" w:rsidP="00885284">
            <w:pPr>
              <w:jc w:val="both"/>
              <w:rPr>
                <w:rFonts w:asciiTheme="minorHAnsi" w:hAnsiTheme="minorHAnsi" w:cs="Arial"/>
                <w:b/>
                <w:bCs/>
                <w:color w:val="000000"/>
                <w:spacing w:val="15"/>
                <w:szCs w:val="22"/>
              </w:rPr>
            </w:pPr>
            <w:r>
              <w:rPr>
                <w:rFonts w:asciiTheme="minorHAnsi" w:hAnsiTheme="minorHAnsi"/>
                <w:b/>
                <w:iCs/>
                <w:szCs w:val="22"/>
              </w:rPr>
              <w:t xml:space="preserve">Geoff Fuller, </w:t>
            </w:r>
            <w:r>
              <w:rPr>
                <w:rFonts w:asciiTheme="minorHAnsi" w:hAnsiTheme="minorHAnsi" w:cs="Arial"/>
                <w:b/>
                <w:bCs/>
                <w:i/>
                <w:color w:val="000000"/>
                <w:spacing w:val="15"/>
                <w:szCs w:val="22"/>
              </w:rPr>
              <w:t>The Law and Practice of International Capital Markets</w:t>
            </w:r>
            <w:r>
              <w:rPr>
                <w:rFonts w:asciiTheme="minorHAnsi" w:hAnsiTheme="minorHAnsi" w:cs="Arial"/>
                <w:b/>
                <w:bCs/>
                <w:color w:val="000000"/>
                <w:spacing w:val="15"/>
                <w:szCs w:val="22"/>
              </w:rPr>
              <w:t xml:space="preserve"> Third Edition (LexisNexis 2012)</w:t>
            </w:r>
          </w:p>
          <w:p w:rsidR="00885284" w:rsidRDefault="00885284" w:rsidP="00885284">
            <w:pPr>
              <w:jc w:val="both"/>
              <w:rPr>
                <w:rFonts w:asciiTheme="minorHAnsi" w:hAnsiTheme="minorHAnsi" w:cs="Arial"/>
                <w:b/>
                <w:bCs/>
                <w:color w:val="000000"/>
                <w:spacing w:val="15"/>
                <w:szCs w:val="22"/>
              </w:rPr>
            </w:pPr>
            <w:r>
              <w:rPr>
                <w:rFonts w:asciiTheme="minorHAnsi" w:hAnsiTheme="minorHAnsi" w:cs="Arial"/>
                <w:b/>
                <w:bCs/>
                <w:color w:val="000000"/>
                <w:spacing w:val="15"/>
                <w:szCs w:val="22"/>
              </w:rPr>
              <w:t>Geoff Fuller,</w:t>
            </w:r>
            <w:r>
              <w:rPr>
                <w:rFonts w:asciiTheme="minorHAnsi" w:hAnsiTheme="minorHAnsi" w:cs="Arial"/>
                <w:b/>
                <w:bCs/>
                <w:i/>
                <w:color w:val="000000"/>
                <w:spacing w:val="15"/>
                <w:szCs w:val="22"/>
              </w:rPr>
              <w:t xml:space="preserve"> Corporate Borrowings</w:t>
            </w:r>
            <w:r>
              <w:rPr>
                <w:rFonts w:asciiTheme="minorHAnsi" w:hAnsiTheme="minorHAnsi" w:cs="Arial"/>
                <w:b/>
                <w:bCs/>
                <w:color w:val="000000"/>
                <w:spacing w:val="15"/>
                <w:szCs w:val="22"/>
              </w:rPr>
              <w:t xml:space="preserve"> (Jordon 2009)</w:t>
            </w:r>
          </w:p>
          <w:p w:rsidR="00A01A59" w:rsidRPr="00B7381E" w:rsidRDefault="00885284" w:rsidP="00885284">
            <w:pPr>
              <w:jc w:val="both"/>
              <w:rPr>
                <w:b/>
              </w:rPr>
            </w:pPr>
            <w:r>
              <w:rPr>
                <w:rFonts w:asciiTheme="minorHAnsi" w:hAnsiTheme="minorHAnsi"/>
                <w:b/>
                <w:iCs/>
                <w:szCs w:val="22"/>
              </w:rPr>
              <w:t xml:space="preserve">Any Haynes, </w:t>
            </w:r>
            <w:r>
              <w:rPr>
                <w:rFonts w:asciiTheme="minorHAnsi" w:hAnsiTheme="minorHAnsi"/>
                <w:b/>
                <w:i/>
                <w:szCs w:val="22"/>
                <w:lang w:val="en"/>
              </w:rPr>
              <w:t>The Law Relating to International Banking</w:t>
            </w:r>
            <w:r>
              <w:rPr>
                <w:rFonts w:asciiTheme="minorHAnsi" w:hAnsiTheme="minorHAnsi"/>
                <w:b/>
                <w:szCs w:val="22"/>
                <w:lang w:val="en"/>
              </w:rPr>
              <w:t xml:space="preserve"> (</w:t>
            </w:r>
            <w:r>
              <w:rPr>
                <w:rFonts w:asciiTheme="minorHAnsi" w:hAnsiTheme="minorHAnsi"/>
                <w:b/>
                <w:szCs w:val="22"/>
              </w:rPr>
              <w:t>Bloomsbury Professional 2</w:t>
            </w:r>
            <w:r>
              <w:rPr>
                <w:rFonts w:asciiTheme="minorHAnsi" w:hAnsiTheme="minorHAnsi"/>
                <w:b/>
                <w:szCs w:val="22"/>
                <w:vertAlign w:val="superscript"/>
              </w:rPr>
              <w:t>nd</w:t>
            </w:r>
            <w:r>
              <w:rPr>
                <w:rFonts w:asciiTheme="minorHAnsi" w:hAnsiTheme="minorHAnsi"/>
                <w:b/>
                <w:szCs w:val="22"/>
              </w:rPr>
              <w:t xml:space="preserve"> 2018</w:t>
            </w:r>
            <w:r>
              <w:rPr>
                <w:rFonts w:asciiTheme="minorHAnsi" w:hAnsiTheme="minorHAnsi"/>
                <w:b/>
                <w:szCs w:val="22"/>
                <w:lang w:val="en"/>
              </w:rPr>
              <w:t>)</w:t>
            </w:r>
          </w:p>
        </w:tc>
      </w:tr>
      <w:tr w:rsidR="00A01A59" w:rsidTr="00106235">
        <w:trPr>
          <w:trHeight w:val="964"/>
        </w:trPr>
        <w:tc>
          <w:tcPr>
            <w:tcW w:w="10627" w:type="dxa"/>
            <w:tcBorders>
              <w:top w:val="dotted" w:sz="4" w:space="0" w:color="auto"/>
              <w:left w:val="dotted" w:sz="4" w:space="0" w:color="auto"/>
              <w:bottom w:val="dotted" w:sz="4" w:space="0" w:color="auto"/>
              <w:right w:val="dotted" w:sz="4" w:space="0" w:color="auto"/>
            </w:tcBorders>
            <w:shd w:val="clear" w:color="auto" w:fill="FFFFFF" w:themeFill="background1"/>
          </w:tcPr>
          <w:p w:rsidR="00885284" w:rsidRDefault="00885284" w:rsidP="00885284">
            <w:pPr>
              <w:jc w:val="both"/>
              <w:rPr>
                <w:b/>
                <w:iCs/>
                <w:szCs w:val="22"/>
              </w:rPr>
            </w:pPr>
            <w:r>
              <w:rPr>
                <w:b/>
                <w:iCs/>
                <w:szCs w:val="22"/>
              </w:rPr>
              <w:t>General Background texts</w:t>
            </w:r>
          </w:p>
          <w:p w:rsidR="00885284" w:rsidRDefault="00885284" w:rsidP="00885284">
            <w:pPr>
              <w:autoSpaceDE w:val="0"/>
              <w:jc w:val="both"/>
              <w:rPr>
                <w:rFonts w:cs="Arial"/>
                <w:b/>
                <w:i/>
                <w:szCs w:val="22"/>
                <w:lang w:eastAsia="ar-SA"/>
              </w:rPr>
            </w:pPr>
            <w:r>
              <w:rPr>
                <w:rFonts w:cs="Arial"/>
                <w:b/>
                <w:szCs w:val="22"/>
                <w:lang w:eastAsia="ar-SA"/>
              </w:rPr>
              <w:t xml:space="preserve">Stephen Valdez and Philip Molyneaux, </w:t>
            </w:r>
            <w:r>
              <w:rPr>
                <w:rFonts w:cs="Arial"/>
                <w:b/>
                <w:i/>
                <w:szCs w:val="22"/>
                <w:lang w:eastAsia="ar-SA"/>
              </w:rPr>
              <w:t xml:space="preserve">An Introduction to Global Financial Markets </w:t>
            </w:r>
            <w:r>
              <w:rPr>
                <w:rFonts w:cs="Arial"/>
                <w:b/>
                <w:szCs w:val="22"/>
                <w:lang w:eastAsia="ar-SA"/>
              </w:rPr>
              <w:t xml:space="preserve">(Macmillan, London, </w:t>
            </w:r>
            <w:r>
              <w:rPr>
                <w:rFonts w:ascii="Garamond" w:hAnsi="Garamond"/>
                <w:b/>
                <w:szCs w:val="22"/>
                <w:lang w:eastAsia="ar-SA"/>
              </w:rPr>
              <w:t>8</w:t>
            </w:r>
            <w:r>
              <w:rPr>
                <w:rFonts w:ascii="Garamond" w:hAnsi="Garamond"/>
                <w:b/>
                <w:szCs w:val="22"/>
                <w:vertAlign w:val="superscript"/>
                <w:lang w:eastAsia="ar-SA"/>
              </w:rPr>
              <w:t>th</w:t>
            </w:r>
            <w:r>
              <w:rPr>
                <w:rFonts w:ascii="Garamond" w:hAnsi="Garamond"/>
                <w:b/>
                <w:szCs w:val="22"/>
                <w:lang w:eastAsia="ar-SA"/>
              </w:rPr>
              <w:t xml:space="preserve"> ed. 2015</w:t>
            </w:r>
            <w:r>
              <w:rPr>
                <w:rFonts w:cs="Arial"/>
                <w:b/>
                <w:szCs w:val="22"/>
                <w:lang w:eastAsia="ar-SA"/>
              </w:rPr>
              <w:t xml:space="preserve">) or other editions </w:t>
            </w:r>
            <w:r>
              <w:rPr>
                <w:rFonts w:cs="Arial"/>
                <w:b/>
                <w:i/>
                <w:szCs w:val="22"/>
                <w:lang w:eastAsia="ar-SA"/>
              </w:rPr>
              <w:t xml:space="preserve"> </w:t>
            </w:r>
          </w:p>
          <w:p w:rsidR="00A01A59" w:rsidRPr="00B7381E" w:rsidRDefault="00885284" w:rsidP="00885284">
            <w:pPr>
              <w:jc w:val="both"/>
              <w:rPr>
                <w:b/>
              </w:rPr>
            </w:pPr>
            <w:r>
              <w:rPr>
                <w:rFonts w:cs="Arial"/>
                <w:b/>
                <w:szCs w:val="22"/>
              </w:rPr>
              <w:t xml:space="preserve">William Clarke, </w:t>
            </w:r>
            <w:r>
              <w:rPr>
                <w:rFonts w:cs="Arial"/>
                <w:b/>
                <w:i/>
                <w:szCs w:val="22"/>
              </w:rPr>
              <w:t xml:space="preserve">How the City of London Works </w:t>
            </w:r>
            <w:r>
              <w:rPr>
                <w:rFonts w:cs="Arial"/>
                <w:b/>
                <w:szCs w:val="22"/>
              </w:rPr>
              <w:t>(Thompson London 7</w:t>
            </w:r>
            <w:r>
              <w:rPr>
                <w:rFonts w:cs="Arial"/>
                <w:b/>
                <w:szCs w:val="22"/>
                <w:vertAlign w:val="superscript"/>
              </w:rPr>
              <w:t>th</w:t>
            </w:r>
            <w:r>
              <w:rPr>
                <w:rFonts w:cs="Arial"/>
                <w:b/>
                <w:szCs w:val="22"/>
              </w:rPr>
              <w:t xml:space="preserve"> ed. 2008) or other editions</w:t>
            </w:r>
          </w:p>
        </w:tc>
      </w:tr>
      <w:tr w:rsidR="00A01A59" w:rsidTr="00106235">
        <w:trPr>
          <w:trHeight w:val="964"/>
        </w:trPr>
        <w:tc>
          <w:tcPr>
            <w:tcW w:w="10627" w:type="dxa"/>
            <w:tcBorders>
              <w:top w:val="dotted" w:sz="4" w:space="0" w:color="auto"/>
              <w:left w:val="dotted" w:sz="4" w:space="0" w:color="auto"/>
              <w:bottom w:val="dotted" w:sz="4" w:space="0" w:color="auto"/>
              <w:right w:val="dotted" w:sz="4" w:space="0" w:color="auto"/>
            </w:tcBorders>
            <w:shd w:val="clear" w:color="auto" w:fill="FFFFFF" w:themeFill="background1"/>
          </w:tcPr>
          <w:p w:rsidR="00885284" w:rsidRDefault="00885284" w:rsidP="00885284">
            <w:pPr>
              <w:rPr>
                <w:b/>
                <w:bCs/>
                <w:szCs w:val="22"/>
              </w:rPr>
            </w:pPr>
            <w:r>
              <w:rPr>
                <w:b/>
                <w:bCs/>
                <w:szCs w:val="22"/>
              </w:rPr>
              <w:t>Specialist texts</w:t>
            </w:r>
          </w:p>
          <w:p w:rsidR="00885284" w:rsidRDefault="00885284" w:rsidP="00885284">
            <w:pPr>
              <w:rPr>
                <w:b/>
                <w:i/>
                <w:szCs w:val="22"/>
              </w:rPr>
            </w:pPr>
            <w:r>
              <w:rPr>
                <w:b/>
                <w:szCs w:val="22"/>
              </w:rPr>
              <w:t>R C Tennekoon,</w:t>
            </w:r>
            <w:r>
              <w:rPr>
                <w:b/>
                <w:i/>
                <w:szCs w:val="22"/>
              </w:rPr>
              <w:t xml:space="preserve"> The Law and Regulation of International Finance </w:t>
            </w:r>
            <w:r>
              <w:rPr>
                <w:b/>
                <w:szCs w:val="22"/>
              </w:rPr>
              <w:t xml:space="preserve">(2005) </w:t>
            </w:r>
          </w:p>
          <w:p w:rsidR="00885284" w:rsidRDefault="00885284" w:rsidP="00885284">
            <w:pPr>
              <w:rPr>
                <w:b/>
                <w:bCs/>
                <w:i/>
                <w:szCs w:val="22"/>
              </w:rPr>
            </w:pPr>
            <w:r>
              <w:rPr>
                <w:b/>
                <w:bCs/>
                <w:szCs w:val="22"/>
              </w:rPr>
              <w:t>G Penn, A  Shea, and A Arora,</w:t>
            </w:r>
            <w:r>
              <w:rPr>
                <w:b/>
                <w:bCs/>
                <w:i/>
                <w:szCs w:val="22"/>
              </w:rPr>
              <w:t xml:space="preserve"> Law and Practice of International Banking </w:t>
            </w:r>
            <w:r>
              <w:rPr>
                <w:b/>
                <w:bCs/>
                <w:szCs w:val="22"/>
              </w:rPr>
              <w:t>( 1987)</w:t>
            </w:r>
          </w:p>
          <w:p w:rsidR="00885284" w:rsidRDefault="00885284" w:rsidP="00885284">
            <w:pPr>
              <w:rPr>
                <w:b/>
                <w:bCs/>
                <w:i/>
                <w:szCs w:val="22"/>
              </w:rPr>
            </w:pPr>
            <w:r>
              <w:rPr>
                <w:b/>
                <w:bCs/>
                <w:szCs w:val="22"/>
              </w:rPr>
              <w:t>F Graaf,</w:t>
            </w:r>
            <w:r>
              <w:rPr>
                <w:b/>
                <w:bCs/>
                <w:i/>
                <w:szCs w:val="22"/>
              </w:rPr>
              <w:t xml:space="preserve"> Euromarket Finance: Issues of Euromarket Securities and Syndicated Eurocurrency Loan </w:t>
            </w:r>
            <w:r>
              <w:rPr>
                <w:b/>
                <w:bCs/>
                <w:szCs w:val="22"/>
              </w:rPr>
              <w:t>(1991)</w:t>
            </w:r>
          </w:p>
          <w:p w:rsidR="00885284" w:rsidRDefault="00885284" w:rsidP="00885284">
            <w:pPr>
              <w:rPr>
                <w:b/>
                <w:bCs/>
                <w:i/>
                <w:szCs w:val="22"/>
              </w:rPr>
            </w:pPr>
            <w:r>
              <w:rPr>
                <w:b/>
                <w:bCs/>
                <w:szCs w:val="22"/>
              </w:rPr>
              <w:t>G Roberts,</w:t>
            </w:r>
            <w:r>
              <w:rPr>
                <w:b/>
                <w:bCs/>
                <w:i/>
                <w:szCs w:val="22"/>
              </w:rPr>
              <w:t xml:space="preserve"> Law Relating to International Banking </w:t>
            </w:r>
            <w:r>
              <w:rPr>
                <w:b/>
                <w:bCs/>
                <w:szCs w:val="22"/>
              </w:rPr>
              <w:t xml:space="preserve">(1997) </w:t>
            </w:r>
          </w:p>
          <w:p w:rsidR="00885284" w:rsidRDefault="00885284" w:rsidP="00885284">
            <w:pPr>
              <w:rPr>
                <w:b/>
                <w:bCs/>
                <w:szCs w:val="22"/>
              </w:rPr>
            </w:pPr>
            <w:r>
              <w:rPr>
                <w:b/>
                <w:bCs/>
                <w:szCs w:val="22"/>
              </w:rPr>
              <w:t xml:space="preserve">A Hudson, </w:t>
            </w:r>
            <w:r>
              <w:rPr>
                <w:b/>
                <w:bCs/>
                <w:i/>
                <w:szCs w:val="22"/>
              </w:rPr>
              <w:t xml:space="preserve">Finance Law </w:t>
            </w:r>
            <w:r>
              <w:rPr>
                <w:b/>
                <w:bCs/>
                <w:szCs w:val="22"/>
              </w:rPr>
              <w:t>(2009)</w:t>
            </w:r>
            <w:r>
              <w:rPr>
                <w:rFonts w:cs="Arial"/>
                <w:b/>
                <w:szCs w:val="22"/>
              </w:rPr>
              <w:t xml:space="preserve"> or later editions</w:t>
            </w:r>
          </w:p>
          <w:p w:rsidR="00885284" w:rsidRDefault="00885284" w:rsidP="00885284">
            <w:pPr>
              <w:autoSpaceDE w:val="0"/>
              <w:autoSpaceDN w:val="0"/>
              <w:adjustRightInd w:val="0"/>
              <w:rPr>
                <w:b/>
                <w:bCs/>
                <w:i/>
                <w:szCs w:val="22"/>
              </w:rPr>
            </w:pPr>
            <w:r>
              <w:rPr>
                <w:b/>
                <w:bCs/>
                <w:szCs w:val="22"/>
              </w:rPr>
              <w:t>Gruson, M., Hutter, S., Kutschera, M.,</w:t>
            </w:r>
            <w:r>
              <w:rPr>
                <w:b/>
                <w:bCs/>
                <w:i/>
                <w:szCs w:val="22"/>
              </w:rPr>
              <w:t xml:space="preserve"> Legal Opinions in International Transactions </w:t>
            </w:r>
            <w:r>
              <w:rPr>
                <w:b/>
                <w:bCs/>
                <w:szCs w:val="22"/>
              </w:rPr>
              <w:t>(4th ed, 2003)</w:t>
            </w:r>
          </w:p>
          <w:p w:rsidR="00885284" w:rsidRDefault="00885284" w:rsidP="00885284">
            <w:pPr>
              <w:rPr>
                <w:b/>
                <w:bCs/>
                <w:i/>
                <w:szCs w:val="22"/>
              </w:rPr>
            </w:pPr>
            <w:r>
              <w:rPr>
                <w:b/>
                <w:bCs/>
                <w:szCs w:val="22"/>
              </w:rPr>
              <w:t>Henderson, S.,</w:t>
            </w:r>
            <w:r>
              <w:rPr>
                <w:b/>
                <w:bCs/>
                <w:i/>
                <w:szCs w:val="22"/>
              </w:rPr>
              <w:t xml:space="preserve"> Introduction to Derivatives </w:t>
            </w:r>
            <w:r>
              <w:rPr>
                <w:b/>
                <w:bCs/>
                <w:szCs w:val="22"/>
              </w:rPr>
              <w:t>(LexisNexis 2ed 2010)</w:t>
            </w:r>
          </w:p>
          <w:p w:rsidR="00885284" w:rsidRDefault="00885284" w:rsidP="00885284">
            <w:pPr>
              <w:jc w:val="both"/>
              <w:rPr>
                <w:rFonts w:ascii="Garamond" w:hAnsi="Garamond"/>
                <w:b/>
                <w:bCs/>
                <w:szCs w:val="22"/>
              </w:rPr>
            </w:pPr>
            <w:r>
              <w:rPr>
                <w:rFonts w:ascii="Garamond" w:hAnsi="Garamond"/>
                <w:b/>
                <w:bCs/>
                <w:szCs w:val="22"/>
              </w:rPr>
              <w:t>Hudson, A. (ed.)</w:t>
            </w:r>
            <w:r>
              <w:rPr>
                <w:rFonts w:ascii="Garamond" w:hAnsi="Garamond"/>
                <w:b/>
                <w:bCs/>
                <w:i/>
                <w:szCs w:val="22"/>
              </w:rPr>
              <w:t xml:space="preserve">, </w:t>
            </w:r>
            <w:r w:rsidRPr="00885284">
              <w:rPr>
                <w:rStyle w:val="Hyperlink"/>
                <w:rFonts w:ascii="Garamond" w:hAnsi="Garamond"/>
                <w:b/>
                <w:bCs/>
                <w:i/>
                <w:color w:val="auto"/>
                <w:szCs w:val="22"/>
                <w:u w:val="none"/>
              </w:rPr>
              <w:t>Modern Financial Techniques, Derivatives and Law</w:t>
            </w:r>
            <w:r w:rsidRPr="00885284">
              <w:rPr>
                <w:rFonts w:ascii="Garamond" w:hAnsi="Garamond"/>
                <w:b/>
                <w:bCs/>
                <w:i/>
                <w:szCs w:val="22"/>
              </w:rPr>
              <w:t xml:space="preserve"> </w:t>
            </w:r>
            <w:r>
              <w:rPr>
                <w:rFonts w:ascii="Garamond" w:hAnsi="Garamond"/>
                <w:b/>
                <w:bCs/>
                <w:szCs w:val="22"/>
              </w:rPr>
              <w:t>(2000)</w:t>
            </w:r>
          </w:p>
          <w:p w:rsidR="00885284" w:rsidRDefault="00885284" w:rsidP="00885284">
            <w:pPr>
              <w:jc w:val="both"/>
              <w:rPr>
                <w:rFonts w:ascii="Garamond" w:hAnsi="Garamond"/>
                <w:b/>
                <w:bCs/>
                <w:szCs w:val="22"/>
              </w:rPr>
            </w:pPr>
            <w:r>
              <w:rPr>
                <w:rFonts w:ascii="Garamond" w:hAnsi="Garamond"/>
                <w:b/>
                <w:bCs/>
                <w:iCs/>
                <w:szCs w:val="22"/>
              </w:rPr>
              <w:t>Hudson, A.,</w:t>
            </w:r>
            <w:r>
              <w:rPr>
                <w:rFonts w:ascii="Garamond" w:hAnsi="Garamond"/>
                <w:b/>
                <w:bCs/>
                <w:i/>
                <w:iCs/>
                <w:szCs w:val="22"/>
              </w:rPr>
              <w:t xml:space="preserve"> </w:t>
            </w:r>
            <w:r>
              <w:rPr>
                <w:rFonts w:ascii="Garamond" w:hAnsi="Garamond"/>
                <w:b/>
                <w:bCs/>
                <w:i/>
                <w:szCs w:val="22"/>
              </w:rPr>
              <w:t xml:space="preserve">The Law on Financial Derivatives </w:t>
            </w:r>
            <w:r>
              <w:rPr>
                <w:rFonts w:ascii="Garamond" w:hAnsi="Garamond"/>
                <w:b/>
                <w:bCs/>
                <w:szCs w:val="22"/>
              </w:rPr>
              <w:t>(3rd ed, 2002)</w:t>
            </w:r>
          </w:p>
          <w:p w:rsidR="00A01A59" w:rsidRPr="00B7381E" w:rsidRDefault="00A01A59" w:rsidP="00106235">
            <w:pPr>
              <w:jc w:val="both"/>
              <w:rPr>
                <w:b/>
              </w:rPr>
            </w:pPr>
          </w:p>
        </w:tc>
      </w:tr>
      <w:tr w:rsidR="00A01A59" w:rsidTr="00106235">
        <w:trPr>
          <w:trHeight w:val="964"/>
        </w:trPr>
        <w:tc>
          <w:tcPr>
            <w:tcW w:w="10627"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B7381E" w:rsidRDefault="00885284" w:rsidP="00106235">
            <w:pPr>
              <w:jc w:val="both"/>
              <w:rPr>
                <w:b/>
              </w:rPr>
            </w:pPr>
            <w:r>
              <w:rPr>
                <w:rFonts w:cs="TimesNewRomanPSMT"/>
                <w:b/>
              </w:rPr>
              <w:t xml:space="preserve">No previous knowledge of banking or financial markets or finance theory is required. It is assumed that students have no prior background expertise. </w:t>
            </w:r>
            <w:r>
              <w:rPr>
                <w:b/>
                <w:bCs/>
              </w:rPr>
              <w:t>The course provides all of the necessary background material required on banking and financial markets and their structure and operation.</w:t>
            </w:r>
          </w:p>
        </w:tc>
      </w:tr>
      <w:tr w:rsidR="00A01A59" w:rsidTr="00106235">
        <w:trPr>
          <w:trHeight w:val="964"/>
        </w:trPr>
        <w:tc>
          <w:tcPr>
            <w:tcW w:w="10627"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B7381E" w:rsidRDefault="00A01A59" w:rsidP="00106235">
            <w:pPr>
              <w:jc w:val="both"/>
              <w:rPr>
                <w:b/>
              </w:rPr>
            </w:pPr>
          </w:p>
        </w:tc>
      </w:tr>
      <w:tr w:rsidR="00A01A59" w:rsidTr="00106235">
        <w:trPr>
          <w:trHeight w:val="964"/>
        </w:trPr>
        <w:tc>
          <w:tcPr>
            <w:tcW w:w="10627" w:type="dxa"/>
            <w:tcBorders>
              <w:top w:val="dotted" w:sz="4" w:space="0" w:color="auto"/>
              <w:left w:val="dotted" w:sz="4" w:space="0" w:color="auto"/>
              <w:bottom w:val="dotted" w:sz="4" w:space="0" w:color="auto"/>
              <w:right w:val="dotted" w:sz="4" w:space="0" w:color="auto"/>
            </w:tcBorders>
            <w:shd w:val="clear" w:color="auto" w:fill="FFFFFF" w:themeFill="background1"/>
          </w:tcPr>
          <w:p w:rsidR="00A01A59" w:rsidRPr="00B7381E" w:rsidRDefault="00A01A59" w:rsidP="00106235">
            <w:pPr>
              <w:jc w:val="both"/>
              <w:rPr>
                <w:b/>
              </w:rPr>
            </w:pPr>
          </w:p>
        </w:tc>
      </w:tr>
    </w:tbl>
    <w:p w:rsidR="00A01A59" w:rsidRDefault="00A01A59" w:rsidP="00A01A59"/>
    <w:p w:rsidR="00A01A59" w:rsidRDefault="00A01A59" w:rsidP="00A01A59"/>
    <w:p w:rsidR="00A01A59" w:rsidRPr="00F015DF" w:rsidRDefault="00A01A59" w:rsidP="00A01A59"/>
    <w:p w:rsidR="00A01A59" w:rsidRDefault="00A01A59" w:rsidP="00A01A59"/>
    <w:p w:rsidR="000C09CA" w:rsidRDefault="000C09CA"/>
    <w:sectPr w:rsidR="000C09CA" w:rsidSect="008D1422">
      <w:footerReference w:type="default" r:id="rId10"/>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D60" w:rsidRDefault="002E2D60">
      <w:pPr>
        <w:spacing w:after="0"/>
      </w:pPr>
      <w:r>
        <w:separator/>
      </w:r>
    </w:p>
  </w:endnote>
  <w:endnote w:type="continuationSeparator" w:id="0">
    <w:p w:rsidR="002E2D60" w:rsidRDefault="002E2D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0B7" w:rsidRDefault="00DE21D9">
    <w:pPr>
      <w:pStyle w:val="Footer"/>
      <w:jc w:val="right"/>
    </w:pPr>
    <w:r w:rsidRPr="005D4482">
      <w:t xml:space="preserve">Page </w:t>
    </w:r>
    <w:r w:rsidRPr="005D4482">
      <w:fldChar w:fldCharType="begin"/>
    </w:r>
    <w:r w:rsidRPr="005D4482">
      <w:instrText xml:space="preserve"> PAGE </w:instrText>
    </w:r>
    <w:r w:rsidRPr="005D4482">
      <w:fldChar w:fldCharType="separate"/>
    </w:r>
    <w:r w:rsidR="00AA6F8E">
      <w:rPr>
        <w:noProof/>
      </w:rPr>
      <w:t>2</w:t>
    </w:r>
    <w:r w:rsidRPr="005D4482">
      <w:fldChar w:fldCharType="end"/>
    </w:r>
    <w:r w:rsidRPr="005D4482">
      <w:t xml:space="preserve"> of </w:t>
    </w:r>
    <w:r>
      <w:rPr>
        <w:noProof/>
      </w:rPr>
      <w:fldChar w:fldCharType="begin"/>
    </w:r>
    <w:r>
      <w:rPr>
        <w:noProof/>
      </w:rPr>
      <w:instrText xml:space="preserve"> NUMPAGES  </w:instrText>
    </w:r>
    <w:r>
      <w:rPr>
        <w:noProof/>
      </w:rPr>
      <w:fldChar w:fldCharType="separate"/>
    </w:r>
    <w:r w:rsidR="00AA6F8E">
      <w:rPr>
        <w:noProof/>
      </w:rPr>
      <w:t>4</w:t>
    </w:r>
    <w:r>
      <w:rPr>
        <w:noProof/>
      </w:rPr>
      <w:fldChar w:fldCharType="end"/>
    </w:r>
  </w:p>
  <w:p w:rsidR="001740B7" w:rsidRDefault="00AA6F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D60" w:rsidRDefault="002E2D60">
      <w:pPr>
        <w:spacing w:after="0"/>
      </w:pPr>
      <w:r>
        <w:separator/>
      </w:r>
    </w:p>
  </w:footnote>
  <w:footnote w:type="continuationSeparator" w:id="0">
    <w:p w:rsidR="002E2D60" w:rsidRDefault="002E2D6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59"/>
    <w:rsid w:val="0008141F"/>
    <w:rsid w:val="000B123C"/>
    <w:rsid w:val="000C09CA"/>
    <w:rsid w:val="00134FC3"/>
    <w:rsid w:val="00167B7E"/>
    <w:rsid w:val="001B01A7"/>
    <w:rsid w:val="001C5058"/>
    <w:rsid w:val="001F0F6B"/>
    <w:rsid w:val="002133A8"/>
    <w:rsid w:val="00235CD3"/>
    <w:rsid w:val="00260FBC"/>
    <w:rsid w:val="002D5F17"/>
    <w:rsid w:val="002D660E"/>
    <w:rsid w:val="002E2D60"/>
    <w:rsid w:val="002F5E69"/>
    <w:rsid w:val="003A349C"/>
    <w:rsid w:val="003F6919"/>
    <w:rsid w:val="004336BC"/>
    <w:rsid w:val="004726D3"/>
    <w:rsid w:val="004D457D"/>
    <w:rsid w:val="00506518"/>
    <w:rsid w:val="00512BEB"/>
    <w:rsid w:val="00525704"/>
    <w:rsid w:val="00572F16"/>
    <w:rsid w:val="00587D40"/>
    <w:rsid w:val="005F07D3"/>
    <w:rsid w:val="00642BD4"/>
    <w:rsid w:val="00653529"/>
    <w:rsid w:val="006552A5"/>
    <w:rsid w:val="00674458"/>
    <w:rsid w:val="006837AD"/>
    <w:rsid w:val="0068597F"/>
    <w:rsid w:val="00691C95"/>
    <w:rsid w:val="006952E0"/>
    <w:rsid w:val="006B3E97"/>
    <w:rsid w:val="006D6CFA"/>
    <w:rsid w:val="00774C8A"/>
    <w:rsid w:val="007A6BD8"/>
    <w:rsid w:val="007D4F23"/>
    <w:rsid w:val="00885284"/>
    <w:rsid w:val="008858B3"/>
    <w:rsid w:val="008E0391"/>
    <w:rsid w:val="008E4171"/>
    <w:rsid w:val="009270AE"/>
    <w:rsid w:val="00937E26"/>
    <w:rsid w:val="00981EFB"/>
    <w:rsid w:val="00A01A59"/>
    <w:rsid w:val="00A10EC1"/>
    <w:rsid w:val="00A12D6D"/>
    <w:rsid w:val="00A32CBE"/>
    <w:rsid w:val="00A34A7E"/>
    <w:rsid w:val="00A9021E"/>
    <w:rsid w:val="00A96E45"/>
    <w:rsid w:val="00AA6F8E"/>
    <w:rsid w:val="00AB1EF1"/>
    <w:rsid w:val="00AD3918"/>
    <w:rsid w:val="00B3423C"/>
    <w:rsid w:val="00B4007B"/>
    <w:rsid w:val="00B418D2"/>
    <w:rsid w:val="00B728E2"/>
    <w:rsid w:val="00B77663"/>
    <w:rsid w:val="00BE01A8"/>
    <w:rsid w:val="00C55DD3"/>
    <w:rsid w:val="00C66781"/>
    <w:rsid w:val="00C676FD"/>
    <w:rsid w:val="00D01355"/>
    <w:rsid w:val="00D47AA9"/>
    <w:rsid w:val="00D97085"/>
    <w:rsid w:val="00DE21D9"/>
    <w:rsid w:val="00E30867"/>
    <w:rsid w:val="00E65DE9"/>
    <w:rsid w:val="00EA0D11"/>
    <w:rsid w:val="00ED42BC"/>
    <w:rsid w:val="00F22941"/>
    <w:rsid w:val="00F31A77"/>
    <w:rsid w:val="00FB1346"/>
    <w:rsid w:val="00FC1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0F75"/>
  <w15:chartTrackingRefBased/>
  <w15:docId w15:val="{7420AF5E-80CB-4604-B86B-7BF03BF6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A59"/>
    <w:pPr>
      <w:spacing w:after="120" w:line="240" w:lineRule="auto"/>
    </w:pPr>
    <w:rPr>
      <w:rFonts w:ascii="Calibri" w:eastAsia="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A59"/>
    <w:pPr>
      <w:spacing w:after="0" w:line="240" w:lineRule="auto"/>
    </w:pPr>
    <w:rPr>
      <w:rFonts w:ascii="Calibri" w:eastAsia="Calibri" w:hAnsi="Calibri" w:cs="Times New Roman"/>
      <w:szCs w:val="24"/>
    </w:rPr>
  </w:style>
  <w:style w:type="paragraph" w:styleId="Footer">
    <w:name w:val="footer"/>
    <w:basedOn w:val="Normal"/>
    <w:link w:val="FooterChar"/>
    <w:uiPriority w:val="99"/>
    <w:unhideWhenUsed/>
    <w:rsid w:val="00A01A59"/>
    <w:pPr>
      <w:tabs>
        <w:tab w:val="center" w:pos="4513"/>
        <w:tab w:val="right" w:pos="9026"/>
      </w:tabs>
    </w:pPr>
    <w:rPr>
      <w:rFonts w:ascii="Tahoma" w:hAnsi="Tahoma"/>
      <w:sz w:val="20"/>
      <w:szCs w:val="20"/>
      <w:lang w:val="x-none"/>
    </w:rPr>
  </w:style>
  <w:style w:type="character" w:customStyle="1" w:styleId="FooterChar">
    <w:name w:val="Footer Char"/>
    <w:basedOn w:val="DefaultParagraphFont"/>
    <w:link w:val="Footer"/>
    <w:uiPriority w:val="99"/>
    <w:rsid w:val="00A01A59"/>
    <w:rPr>
      <w:rFonts w:ascii="Tahoma" w:eastAsia="Calibri" w:hAnsi="Tahoma" w:cs="Times New Roman"/>
      <w:sz w:val="20"/>
      <w:szCs w:val="20"/>
      <w:lang w:val="x-none"/>
    </w:rPr>
  </w:style>
  <w:style w:type="table" w:styleId="TableGrid">
    <w:name w:val="Table Grid"/>
    <w:basedOn w:val="TableNormal"/>
    <w:uiPriority w:val="39"/>
    <w:rsid w:val="00A01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1A59"/>
    <w:rPr>
      <w:color w:val="0563C1" w:themeColor="hyperlink"/>
      <w:u w:val="single"/>
    </w:rPr>
  </w:style>
  <w:style w:type="paragraph" w:styleId="NormalWeb">
    <w:name w:val="Normal (Web)"/>
    <w:basedOn w:val="Normal"/>
    <w:uiPriority w:val="99"/>
    <w:semiHidden/>
    <w:unhideWhenUsed/>
    <w:rsid w:val="001F0F6B"/>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11323">
      <w:bodyDiv w:val="1"/>
      <w:marLeft w:val="0"/>
      <w:marRight w:val="0"/>
      <w:marTop w:val="0"/>
      <w:marBottom w:val="0"/>
      <w:divBdr>
        <w:top w:val="none" w:sz="0" w:space="0" w:color="auto"/>
        <w:left w:val="none" w:sz="0" w:space="0" w:color="auto"/>
        <w:bottom w:val="none" w:sz="0" w:space="0" w:color="auto"/>
        <w:right w:val="none" w:sz="0" w:space="0" w:color="auto"/>
      </w:divBdr>
    </w:div>
    <w:div w:id="682901542">
      <w:bodyDiv w:val="1"/>
      <w:marLeft w:val="0"/>
      <w:marRight w:val="0"/>
      <w:marTop w:val="0"/>
      <w:marBottom w:val="0"/>
      <w:divBdr>
        <w:top w:val="none" w:sz="0" w:space="0" w:color="auto"/>
        <w:left w:val="none" w:sz="0" w:space="0" w:color="auto"/>
        <w:bottom w:val="none" w:sz="0" w:space="0" w:color="auto"/>
        <w:right w:val="none" w:sz="0" w:space="0" w:color="auto"/>
      </w:divBdr>
    </w:div>
    <w:div w:id="724455900">
      <w:bodyDiv w:val="1"/>
      <w:marLeft w:val="0"/>
      <w:marRight w:val="0"/>
      <w:marTop w:val="0"/>
      <w:marBottom w:val="0"/>
      <w:divBdr>
        <w:top w:val="none" w:sz="0" w:space="0" w:color="auto"/>
        <w:left w:val="none" w:sz="0" w:space="0" w:color="auto"/>
        <w:bottom w:val="none" w:sz="0" w:space="0" w:color="auto"/>
        <w:right w:val="none" w:sz="0" w:space="0" w:color="auto"/>
      </w:divBdr>
    </w:div>
    <w:div w:id="753015097">
      <w:bodyDiv w:val="1"/>
      <w:marLeft w:val="0"/>
      <w:marRight w:val="0"/>
      <w:marTop w:val="0"/>
      <w:marBottom w:val="0"/>
      <w:divBdr>
        <w:top w:val="none" w:sz="0" w:space="0" w:color="auto"/>
        <w:left w:val="none" w:sz="0" w:space="0" w:color="auto"/>
        <w:bottom w:val="none" w:sz="0" w:space="0" w:color="auto"/>
        <w:right w:val="none" w:sz="0" w:space="0" w:color="auto"/>
      </w:divBdr>
    </w:div>
    <w:div w:id="783041922">
      <w:bodyDiv w:val="1"/>
      <w:marLeft w:val="0"/>
      <w:marRight w:val="0"/>
      <w:marTop w:val="0"/>
      <w:marBottom w:val="0"/>
      <w:divBdr>
        <w:top w:val="none" w:sz="0" w:space="0" w:color="auto"/>
        <w:left w:val="none" w:sz="0" w:space="0" w:color="auto"/>
        <w:bottom w:val="none" w:sz="0" w:space="0" w:color="auto"/>
        <w:right w:val="none" w:sz="0" w:space="0" w:color="auto"/>
      </w:divBdr>
    </w:div>
    <w:div w:id="1036589800">
      <w:bodyDiv w:val="1"/>
      <w:marLeft w:val="0"/>
      <w:marRight w:val="0"/>
      <w:marTop w:val="0"/>
      <w:marBottom w:val="0"/>
      <w:divBdr>
        <w:top w:val="none" w:sz="0" w:space="0" w:color="auto"/>
        <w:left w:val="none" w:sz="0" w:space="0" w:color="auto"/>
        <w:bottom w:val="none" w:sz="0" w:space="0" w:color="auto"/>
        <w:right w:val="none" w:sz="0" w:space="0" w:color="auto"/>
      </w:divBdr>
    </w:div>
    <w:div w:id="1168443652">
      <w:bodyDiv w:val="1"/>
      <w:marLeft w:val="0"/>
      <w:marRight w:val="0"/>
      <w:marTop w:val="0"/>
      <w:marBottom w:val="0"/>
      <w:divBdr>
        <w:top w:val="none" w:sz="0" w:space="0" w:color="auto"/>
        <w:left w:val="none" w:sz="0" w:space="0" w:color="auto"/>
        <w:bottom w:val="none" w:sz="0" w:space="0" w:color="auto"/>
        <w:right w:val="none" w:sz="0" w:space="0" w:color="auto"/>
      </w:divBdr>
    </w:div>
    <w:div w:id="1380980255">
      <w:bodyDiv w:val="1"/>
      <w:marLeft w:val="0"/>
      <w:marRight w:val="0"/>
      <w:marTop w:val="0"/>
      <w:marBottom w:val="0"/>
      <w:divBdr>
        <w:top w:val="none" w:sz="0" w:space="0" w:color="auto"/>
        <w:left w:val="none" w:sz="0" w:space="0" w:color="auto"/>
        <w:bottom w:val="none" w:sz="0" w:space="0" w:color="auto"/>
        <w:right w:val="none" w:sz="0" w:space="0" w:color="auto"/>
      </w:divBdr>
    </w:div>
    <w:div w:id="1456673975">
      <w:bodyDiv w:val="1"/>
      <w:marLeft w:val="0"/>
      <w:marRight w:val="0"/>
      <w:marTop w:val="0"/>
      <w:marBottom w:val="0"/>
      <w:divBdr>
        <w:top w:val="none" w:sz="0" w:space="0" w:color="auto"/>
        <w:left w:val="none" w:sz="0" w:space="0" w:color="auto"/>
        <w:bottom w:val="none" w:sz="0" w:space="0" w:color="auto"/>
        <w:right w:val="none" w:sz="0" w:space="0" w:color="auto"/>
      </w:divBdr>
    </w:div>
    <w:div w:id="1542598061">
      <w:bodyDiv w:val="1"/>
      <w:marLeft w:val="0"/>
      <w:marRight w:val="0"/>
      <w:marTop w:val="0"/>
      <w:marBottom w:val="0"/>
      <w:divBdr>
        <w:top w:val="none" w:sz="0" w:space="0" w:color="auto"/>
        <w:left w:val="none" w:sz="0" w:space="0" w:color="auto"/>
        <w:bottom w:val="none" w:sz="0" w:space="0" w:color="auto"/>
        <w:right w:val="none" w:sz="0" w:space="0" w:color="auto"/>
      </w:divBdr>
    </w:div>
    <w:div w:id="1648170445">
      <w:bodyDiv w:val="1"/>
      <w:marLeft w:val="0"/>
      <w:marRight w:val="0"/>
      <w:marTop w:val="0"/>
      <w:marBottom w:val="0"/>
      <w:divBdr>
        <w:top w:val="none" w:sz="0" w:space="0" w:color="auto"/>
        <w:left w:val="none" w:sz="0" w:space="0" w:color="auto"/>
        <w:bottom w:val="none" w:sz="0" w:space="0" w:color="auto"/>
        <w:right w:val="none" w:sz="0" w:space="0" w:color="auto"/>
      </w:divBdr>
    </w:div>
    <w:div w:id="1732580451">
      <w:bodyDiv w:val="1"/>
      <w:marLeft w:val="0"/>
      <w:marRight w:val="0"/>
      <w:marTop w:val="0"/>
      <w:marBottom w:val="0"/>
      <w:divBdr>
        <w:top w:val="none" w:sz="0" w:space="0" w:color="auto"/>
        <w:left w:val="none" w:sz="0" w:space="0" w:color="auto"/>
        <w:bottom w:val="none" w:sz="0" w:space="0" w:color="auto"/>
        <w:right w:val="none" w:sz="0" w:space="0" w:color="auto"/>
      </w:divBdr>
    </w:div>
    <w:div w:id="1819148941">
      <w:bodyDiv w:val="1"/>
      <w:marLeft w:val="0"/>
      <w:marRight w:val="0"/>
      <w:marTop w:val="0"/>
      <w:marBottom w:val="0"/>
      <w:divBdr>
        <w:top w:val="none" w:sz="0" w:space="0" w:color="auto"/>
        <w:left w:val="none" w:sz="0" w:space="0" w:color="auto"/>
        <w:bottom w:val="none" w:sz="0" w:space="0" w:color="auto"/>
        <w:right w:val="none" w:sz="0" w:space="0" w:color="auto"/>
      </w:divBdr>
    </w:div>
    <w:div w:id="1883444446">
      <w:bodyDiv w:val="1"/>
      <w:marLeft w:val="0"/>
      <w:marRight w:val="0"/>
      <w:marTop w:val="0"/>
      <w:marBottom w:val="0"/>
      <w:divBdr>
        <w:top w:val="none" w:sz="0" w:space="0" w:color="auto"/>
        <w:left w:val="none" w:sz="0" w:space="0" w:color="auto"/>
        <w:bottom w:val="none" w:sz="0" w:space="0" w:color="auto"/>
        <w:right w:val="none" w:sz="0" w:space="0" w:color="auto"/>
      </w:divBdr>
    </w:div>
    <w:div w:id="1908764390">
      <w:bodyDiv w:val="1"/>
      <w:marLeft w:val="0"/>
      <w:marRight w:val="0"/>
      <w:marTop w:val="0"/>
      <w:marBottom w:val="0"/>
      <w:divBdr>
        <w:top w:val="none" w:sz="0" w:space="0" w:color="auto"/>
        <w:left w:val="none" w:sz="0" w:space="0" w:color="auto"/>
        <w:bottom w:val="none" w:sz="0" w:space="0" w:color="auto"/>
        <w:right w:val="none" w:sz="0" w:space="0" w:color="auto"/>
      </w:divBdr>
    </w:div>
    <w:div w:id="202192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walker@qmul.ac.uk" TargetMode="External"/><Relationship Id="rId3" Type="http://schemas.openxmlformats.org/officeDocument/2006/relationships/webSettings" Target="webSettings.xml"/><Relationship Id="rId7" Type="http://schemas.openxmlformats.org/officeDocument/2006/relationships/hyperlink" Target="mailto:g.a.walker@qmul.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roberts@qm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6913</Characters>
  <Application>Microsoft Office Word</Application>
  <DocSecurity>0</DocSecurity>
  <Lines>288</Lines>
  <Paragraphs>286</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Sullivan</dc:creator>
  <cp:keywords/>
  <dc:description/>
  <cp:lastModifiedBy>GA Walker</cp:lastModifiedBy>
  <cp:revision>2</cp:revision>
  <dcterms:created xsi:type="dcterms:W3CDTF">2023-09-28T15:53:00Z</dcterms:created>
  <dcterms:modified xsi:type="dcterms:W3CDTF">2023-09-28T15:53:00Z</dcterms:modified>
</cp:coreProperties>
</file>