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E29AB" w14:textId="77777777" w:rsidR="006D7592" w:rsidRDefault="006D7592">
      <w:r w:rsidRPr="00F004E5">
        <w:rPr>
          <w:rFonts w:cs="Calibri"/>
          <w:b/>
          <w:noProof/>
          <w:lang w:eastAsia="en-GB"/>
        </w:rPr>
        <w:drawing>
          <wp:anchor distT="0" distB="0" distL="114300" distR="114300" simplePos="0" relativeHeight="251659264" behindDoc="1" locked="0" layoutInCell="1" allowOverlap="1" wp14:anchorId="2F7045EA" wp14:editId="0136E55F">
            <wp:simplePos x="0" y="0"/>
            <wp:positionH relativeFrom="margin">
              <wp:posOffset>1327150</wp:posOffset>
            </wp:positionH>
            <wp:positionV relativeFrom="paragraph">
              <wp:posOffset>0</wp:posOffset>
            </wp:positionV>
            <wp:extent cx="3253105" cy="809625"/>
            <wp:effectExtent l="0" t="0" r="4445" b="9525"/>
            <wp:wrapSquare wrapText="bothSides"/>
            <wp:docPr id="160" name="Picture 160" descr="qm logo larg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m logo large blu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5310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716B9F" w14:textId="77777777" w:rsidR="006D7592" w:rsidRPr="006D7592" w:rsidRDefault="006D7592" w:rsidP="006D7592"/>
    <w:p w14:paraId="293A9F2F" w14:textId="77777777" w:rsidR="006D7592" w:rsidRDefault="006D7592" w:rsidP="006D7592"/>
    <w:p w14:paraId="48F9A18B" w14:textId="77777777" w:rsidR="00E66A42" w:rsidRDefault="006D7592" w:rsidP="006D7592">
      <w:pPr>
        <w:tabs>
          <w:tab w:val="left" w:pos="6810"/>
        </w:tabs>
      </w:pPr>
      <w:r>
        <w:tab/>
      </w:r>
    </w:p>
    <w:tbl>
      <w:tblPr>
        <w:tblpPr w:leftFromText="180" w:rightFromText="180" w:vertAnchor="text" w:horzAnchor="margin" w:tblpXSpec="center" w:tblpY="275"/>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3"/>
      </w:tblGrid>
      <w:tr w:rsidR="006D7592" w14:paraId="183C81DA" w14:textId="77777777" w:rsidTr="00F55914">
        <w:trPr>
          <w:trHeight w:val="1493"/>
        </w:trPr>
        <w:tc>
          <w:tcPr>
            <w:tcW w:w="10763" w:type="dxa"/>
            <w:tcBorders>
              <w:top w:val="nil"/>
              <w:left w:val="nil"/>
              <w:bottom w:val="nil"/>
              <w:right w:val="nil"/>
            </w:tcBorders>
            <w:shd w:val="clear" w:color="auto" w:fill="D3E5F9"/>
            <w:vAlign w:val="center"/>
          </w:tcPr>
          <w:p w14:paraId="5AE07DF7" w14:textId="74D24CEB" w:rsidR="00171332" w:rsidRDefault="00171332" w:rsidP="00171332">
            <w:pPr>
              <w:jc w:val="center"/>
              <w:rPr>
                <w:b/>
                <w:sz w:val="28"/>
                <w:u w:val="single"/>
              </w:rPr>
            </w:pPr>
            <w:r w:rsidRPr="5F858E26">
              <w:rPr>
                <w:b/>
                <w:bCs/>
                <w:sz w:val="28"/>
                <w:szCs w:val="28"/>
                <w:u w:val="single"/>
              </w:rPr>
              <w:t>SCHOOL OF LAW 202</w:t>
            </w:r>
            <w:r w:rsidR="00374745">
              <w:rPr>
                <w:b/>
                <w:bCs/>
                <w:sz w:val="28"/>
                <w:szCs w:val="28"/>
                <w:u w:val="single"/>
              </w:rPr>
              <w:t>4</w:t>
            </w:r>
            <w:r w:rsidRPr="5F858E26">
              <w:rPr>
                <w:b/>
                <w:bCs/>
                <w:sz w:val="28"/>
                <w:szCs w:val="28"/>
                <w:u w:val="single"/>
              </w:rPr>
              <w:t>-202</w:t>
            </w:r>
            <w:r w:rsidR="00374745">
              <w:rPr>
                <w:b/>
                <w:bCs/>
                <w:sz w:val="28"/>
                <w:szCs w:val="28"/>
                <w:u w:val="single"/>
              </w:rPr>
              <w:t>5</w:t>
            </w:r>
            <w:r w:rsidRPr="5F858E26">
              <w:rPr>
                <w:b/>
                <w:bCs/>
                <w:sz w:val="28"/>
                <w:szCs w:val="28"/>
                <w:u w:val="single"/>
              </w:rPr>
              <w:t>: LLM MODULE SYLLABUS</w:t>
            </w:r>
          </w:p>
          <w:p w14:paraId="714D5D92" w14:textId="77777777" w:rsidR="00171332" w:rsidRDefault="00171332" w:rsidP="00171332">
            <w:pPr>
              <w:jc w:val="center"/>
              <w:rPr>
                <w:sz w:val="28"/>
                <w:szCs w:val="28"/>
              </w:rPr>
            </w:pPr>
            <w:r>
              <w:rPr>
                <w:sz w:val="28"/>
                <w:szCs w:val="28"/>
              </w:rPr>
              <w:t xml:space="preserve">Teaching in A22 and B22 is in two </w:t>
            </w:r>
            <w:proofErr w:type="gramStart"/>
            <w:r>
              <w:rPr>
                <w:sz w:val="28"/>
                <w:szCs w:val="28"/>
              </w:rPr>
              <w:t>5 week</w:t>
            </w:r>
            <w:proofErr w:type="gramEnd"/>
            <w:r>
              <w:rPr>
                <w:sz w:val="28"/>
                <w:szCs w:val="28"/>
              </w:rPr>
              <w:t xml:space="preserve"> blocks with study week between them. </w:t>
            </w:r>
          </w:p>
          <w:p w14:paraId="400B9902" w14:textId="77777777" w:rsidR="00171332" w:rsidRDefault="00171332" w:rsidP="00171332">
            <w:pPr>
              <w:jc w:val="center"/>
              <w:rPr>
                <w:sz w:val="28"/>
                <w:szCs w:val="28"/>
              </w:rPr>
            </w:pPr>
            <w:r>
              <w:rPr>
                <w:sz w:val="28"/>
                <w:szCs w:val="28"/>
              </w:rPr>
              <w:t xml:space="preserve">30 credits are taught within a single semester (10 weeks) 15 credits: Semester </w:t>
            </w:r>
          </w:p>
          <w:p w14:paraId="17F9BC05" w14:textId="77777777" w:rsidR="00171332" w:rsidRDefault="00171332" w:rsidP="00171332">
            <w:pPr>
              <w:contextualSpacing/>
              <w:jc w:val="center"/>
              <w:rPr>
                <w:sz w:val="28"/>
                <w:szCs w:val="28"/>
              </w:rPr>
            </w:pPr>
            <w:r>
              <w:rPr>
                <w:sz w:val="28"/>
                <w:szCs w:val="28"/>
              </w:rPr>
              <w:t xml:space="preserve">A22– Blocks A </w:t>
            </w:r>
            <w:r>
              <w:rPr>
                <w:b/>
                <w:bCs/>
                <w:sz w:val="28"/>
                <w:szCs w:val="28"/>
              </w:rPr>
              <w:t>or</w:t>
            </w:r>
            <w:r>
              <w:rPr>
                <w:sz w:val="28"/>
                <w:szCs w:val="28"/>
              </w:rPr>
              <w:t xml:space="preserve"> B (5 weeks) / Semester B22 - Blocks C </w:t>
            </w:r>
            <w:r>
              <w:rPr>
                <w:b/>
                <w:bCs/>
                <w:sz w:val="28"/>
                <w:szCs w:val="28"/>
              </w:rPr>
              <w:t>or</w:t>
            </w:r>
            <w:r>
              <w:rPr>
                <w:sz w:val="28"/>
                <w:szCs w:val="28"/>
              </w:rPr>
              <w:t xml:space="preserve"> D (5 </w:t>
            </w:r>
            <w:proofErr w:type="gramStart"/>
            <w:r>
              <w:rPr>
                <w:sz w:val="28"/>
                <w:szCs w:val="28"/>
              </w:rPr>
              <w:t xml:space="preserve">weeks)   </w:t>
            </w:r>
            <w:proofErr w:type="gramEnd"/>
            <w:r>
              <w:rPr>
                <w:sz w:val="28"/>
                <w:szCs w:val="28"/>
              </w:rPr>
              <w:t xml:space="preserve">             Study Week falls within the two  blocks (limited teaching/events/tutorials etc.)</w:t>
            </w:r>
          </w:p>
          <w:p w14:paraId="62AEBA92" w14:textId="12F09DAB" w:rsidR="00171332" w:rsidRDefault="00171332" w:rsidP="00171332">
            <w:pPr>
              <w:rPr>
                <w:sz w:val="28"/>
                <w:szCs w:val="28"/>
              </w:rPr>
            </w:pPr>
            <w:r>
              <w:rPr>
                <w:sz w:val="28"/>
                <w:szCs w:val="28"/>
              </w:rPr>
              <w:t xml:space="preserve">    </w:t>
            </w:r>
          </w:p>
          <w:p w14:paraId="429C63C7" w14:textId="77777777" w:rsidR="006D7592" w:rsidRDefault="00171332" w:rsidP="00171332">
            <w:pPr>
              <w:contextualSpacing/>
              <w:jc w:val="center"/>
              <w:rPr>
                <w:sz w:val="28"/>
                <w:szCs w:val="28"/>
              </w:rPr>
            </w:pPr>
            <w:r>
              <w:rPr>
                <w:sz w:val="28"/>
                <w:szCs w:val="28"/>
              </w:rPr>
              <w:t xml:space="preserve">Semester C22 – </w:t>
            </w:r>
            <w:proofErr w:type="gramStart"/>
            <w:r>
              <w:rPr>
                <w:sz w:val="28"/>
                <w:szCs w:val="28"/>
              </w:rPr>
              <w:t>5 week</w:t>
            </w:r>
            <w:proofErr w:type="gramEnd"/>
            <w:r>
              <w:rPr>
                <w:sz w:val="28"/>
                <w:szCs w:val="28"/>
              </w:rPr>
              <w:t xml:space="preserve"> block only (15 credits only) </w:t>
            </w:r>
          </w:p>
          <w:p w14:paraId="6407BF23" w14:textId="6FDB1408" w:rsidR="00CB1623" w:rsidRPr="00171332" w:rsidRDefault="00CB1623" w:rsidP="00171332">
            <w:pPr>
              <w:contextualSpacing/>
              <w:jc w:val="center"/>
              <w:rPr>
                <w:sz w:val="28"/>
                <w:szCs w:val="28"/>
              </w:rPr>
            </w:pPr>
          </w:p>
        </w:tc>
      </w:tr>
    </w:tbl>
    <w:p w14:paraId="644E3D64" w14:textId="77777777" w:rsidR="006D7592" w:rsidRDefault="006D7592" w:rsidP="006D7592">
      <w:pPr>
        <w:tabs>
          <w:tab w:val="left" w:pos="1155"/>
        </w:tabs>
      </w:pPr>
    </w:p>
    <w:tbl>
      <w:tblPr>
        <w:tblStyle w:val="TableGrid"/>
        <w:tblpPr w:leftFromText="180" w:rightFromText="180" w:vertAnchor="text" w:horzAnchor="margin" w:tblpXSpec="center" w:tblpY="3548"/>
        <w:tblW w:w="9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921"/>
        <w:gridCol w:w="4947"/>
      </w:tblGrid>
      <w:tr w:rsidR="006D7592" w14:paraId="74F1FA9F" w14:textId="77777777" w:rsidTr="00171332">
        <w:trPr>
          <w:trHeight w:val="334"/>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2896242F" w14:textId="77777777" w:rsidR="006D7592" w:rsidRPr="00B7381E" w:rsidRDefault="006D7592" w:rsidP="00171332">
            <w:pPr>
              <w:rPr>
                <w:b/>
              </w:rPr>
            </w:pPr>
            <w:r w:rsidRPr="00B7381E">
              <w:rPr>
                <w:b/>
              </w:rPr>
              <w:t>Module Code:</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22F6E668" w14:textId="77777777" w:rsidR="006D7592" w:rsidRPr="004770A6" w:rsidRDefault="006D7592" w:rsidP="00171332">
            <w:r>
              <w:rPr>
                <w:noProof/>
              </w:rPr>
              <w:t>SOLM238</w:t>
            </w:r>
          </w:p>
        </w:tc>
      </w:tr>
      <w:tr w:rsidR="006D7592" w14:paraId="27319F57" w14:textId="77777777" w:rsidTr="00171332">
        <w:trPr>
          <w:trHeight w:val="334"/>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0228939C" w14:textId="77777777" w:rsidR="006D7592" w:rsidRPr="00B7381E" w:rsidRDefault="006D7592" w:rsidP="00171332">
            <w:pPr>
              <w:jc w:val="both"/>
              <w:rPr>
                <w:b/>
              </w:rPr>
            </w:pPr>
            <w:r w:rsidRPr="00B7381E">
              <w:rPr>
                <w:b/>
              </w:rPr>
              <w:t>Module Title</w:t>
            </w:r>
            <w:r>
              <w:rPr>
                <w:b/>
              </w:rPr>
              <w:t>:</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69B3863C" w14:textId="77777777" w:rsidR="006D7592" w:rsidRPr="004770A6" w:rsidRDefault="006D7592" w:rsidP="00171332">
            <w:r>
              <w:rPr>
                <w:noProof/>
              </w:rPr>
              <w:t>Esports Law</w:t>
            </w:r>
          </w:p>
        </w:tc>
      </w:tr>
      <w:tr w:rsidR="006D7592" w14:paraId="3D95A1C4" w14:textId="77777777" w:rsidTr="00171332">
        <w:trPr>
          <w:trHeight w:val="334"/>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35BA9A88" w14:textId="77777777" w:rsidR="006D7592" w:rsidRPr="00B7381E" w:rsidRDefault="006D7592" w:rsidP="00171332">
            <w:pPr>
              <w:jc w:val="both"/>
              <w:rPr>
                <w:b/>
              </w:rPr>
            </w:pPr>
            <w:r>
              <w:rPr>
                <w:b/>
              </w:rPr>
              <w:t>Number of Credits</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52C729A6" w14:textId="77777777" w:rsidR="006D7592" w:rsidRPr="004770A6" w:rsidRDefault="006D7592" w:rsidP="00171332">
            <w:r>
              <w:rPr>
                <w:noProof/>
              </w:rPr>
              <w:t>15</w:t>
            </w:r>
          </w:p>
        </w:tc>
      </w:tr>
      <w:tr w:rsidR="006D7592" w14:paraId="495C366B" w14:textId="77777777" w:rsidTr="00171332">
        <w:trPr>
          <w:trHeight w:val="334"/>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306BBB97" w14:textId="77777777" w:rsidR="006D7592" w:rsidRPr="00B7381E" w:rsidRDefault="006D7592" w:rsidP="00171332">
            <w:pPr>
              <w:jc w:val="both"/>
              <w:rPr>
                <w:b/>
              </w:rPr>
            </w:pPr>
            <w:r w:rsidRPr="00B7381E">
              <w:rPr>
                <w:b/>
              </w:rPr>
              <w:t>Semester</w:t>
            </w:r>
            <w:r>
              <w:rPr>
                <w:b/>
              </w:rPr>
              <w:t xml:space="preserve"> and Block</w:t>
            </w:r>
            <w:r w:rsidRPr="00B7381E">
              <w:rPr>
                <w:b/>
              </w:rPr>
              <w:t xml:space="preserve"> Taught:</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30084C19" w14:textId="6A62CACA" w:rsidR="006D7592" w:rsidRPr="004770A6" w:rsidRDefault="006D7592" w:rsidP="00171332">
            <w:pPr>
              <w:rPr>
                <w:b/>
              </w:rPr>
            </w:pPr>
            <w:r w:rsidRPr="004770A6">
              <w:rPr>
                <w:b/>
              </w:rPr>
              <w:t xml:space="preserve">Semester:    </w:t>
            </w:r>
            <w:r w:rsidR="00CB1623">
              <w:rPr>
                <w:b/>
              </w:rPr>
              <w:t>1</w:t>
            </w:r>
            <w:r w:rsidRPr="004770A6">
              <w:rPr>
                <w:b/>
              </w:rPr>
              <w:t xml:space="preserve">   Block</w:t>
            </w:r>
            <w:r w:rsidRPr="004770A6">
              <w:t xml:space="preserve">: </w:t>
            </w:r>
            <w:r w:rsidR="00CB1623">
              <w:t>B</w:t>
            </w:r>
          </w:p>
        </w:tc>
      </w:tr>
      <w:tr w:rsidR="006D7592" w14:paraId="705B4695" w14:textId="77777777" w:rsidTr="00171332">
        <w:trPr>
          <w:trHeight w:val="929"/>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71A090D1" w14:textId="77777777" w:rsidR="006D7592" w:rsidRPr="00B7381E" w:rsidRDefault="006D7592" w:rsidP="00171332">
            <w:pPr>
              <w:jc w:val="both"/>
              <w:rPr>
                <w:b/>
              </w:rPr>
            </w:pPr>
            <w:r w:rsidRPr="00B7381E">
              <w:rPr>
                <w:b/>
              </w:rPr>
              <w:t>Module Convenor:</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27C970D5" w14:textId="77777777" w:rsidR="007B228A" w:rsidRPr="00420492" w:rsidRDefault="007B228A" w:rsidP="00171332">
            <w:pPr>
              <w:ind w:left="2616" w:hanging="2616"/>
              <w:rPr>
                <w:b/>
              </w:rPr>
            </w:pPr>
            <w:r w:rsidRPr="00420492">
              <w:rPr>
                <w:b/>
              </w:rPr>
              <w:t xml:space="preserve">NAME: </w:t>
            </w:r>
            <w:r w:rsidRPr="00420492">
              <w:t xml:space="preserve"> </w:t>
            </w:r>
            <w:r w:rsidRPr="00420492">
              <w:rPr>
                <w:b/>
              </w:rPr>
              <w:t>DR Gaetano Dimita</w:t>
            </w:r>
          </w:p>
          <w:p w14:paraId="75FA55AC" w14:textId="77777777" w:rsidR="007B228A" w:rsidRPr="00420492" w:rsidRDefault="007B228A" w:rsidP="00171332">
            <w:pPr>
              <w:ind w:left="2616" w:hanging="2616"/>
              <w:rPr>
                <w:b/>
              </w:rPr>
            </w:pPr>
            <w:r w:rsidRPr="00420492">
              <w:rPr>
                <w:b/>
              </w:rPr>
              <w:t xml:space="preserve">EMAIL ADDRESS: </w:t>
            </w:r>
            <w:r w:rsidRPr="00420492">
              <w:t xml:space="preserve"> </w:t>
            </w:r>
            <w:r w:rsidRPr="00420492">
              <w:rPr>
                <w:b/>
              </w:rPr>
              <w:t>g.dimita@qmul.ac.uk</w:t>
            </w:r>
          </w:p>
          <w:p w14:paraId="7941E781" w14:textId="1300C9F4" w:rsidR="006D7592" w:rsidRPr="004770A6" w:rsidRDefault="007B228A" w:rsidP="00171332">
            <w:pPr>
              <w:rPr>
                <w:b/>
                <w:color w:val="FF0000"/>
              </w:rPr>
            </w:pPr>
            <w:r w:rsidRPr="00420492">
              <w:rPr>
                <w:b/>
              </w:rPr>
              <w:t xml:space="preserve">OFFICE LOCATION/HOURS:    </w:t>
            </w:r>
            <w:r>
              <w:rPr>
                <w:b/>
              </w:rPr>
              <w:t>LIF</w:t>
            </w:r>
            <w:r w:rsidRPr="00420492">
              <w:rPr>
                <w:b/>
              </w:rPr>
              <w:t xml:space="preserve"> 1.4 – </w:t>
            </w:r>
            <w:r>
              <w:rPr>
                <w:b/>
              </w:rPr>
              <w:t>upon reques</w:t>
            </w:r>
            <w:r w:rsidRPr="00420492">
              <w:rPr>
                <w:b/>
              </w:rPr>
              <w:t>t</w:t>
            </w:r>
            <w:r w:rsidRPr="004770A6">
              <w:rPr>
                <w:b/>
                <w:color w:val="FF0000"/>
              </w:rPr>
              <w:t xml:space="preserve"> </w:t>
            </w:r>
          </w:p>
        </w:tc>
      </w:tr>
      <w:tr w:rsidR="006D7592" w14:paraId="6784B94C" w14:textId="77777777" w:rsidTr="00171332">
        <w:trPr>
          <w:trHeight w:val="334"/>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78AFB2BE" w14:textId="77777777" w:rsidR="006D7592" w:rsidRPr="00B7381E" w:rsidRDefault="006D7592" w:rsidP="00171332">
            <w:pPr>
              <w:jc w:val="both"/>
              <w:rPr>
                <w:b/>
              </w:rPr>
            </w:pPr>
            <w:r w:rsidRPr="00B7381E">
              <w:rPr>
                <w:b/>
              </w:rPr>
              <w:t>Assessment:</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07692387" w14:textId="77777777" w:rsidR="006D7592" w:rsidRPr="004770A6" w:rsidRDefault="006D7592" w:rsidP="00171332">
            <w:r>
              <w:rPr>
                <w:noProof/>
              </w:rPr>
              <w:t>4000 word essay</w:t>
            </w:r>
          </w:p>
        </w:tc>
      </w:tr>
      <w:tr w:rsidR="006D7592" w14:paraId="0C6614BB" w14:textId="77777777" w:rsidTr="00171332">
        <w:trPr>
          <w:trHeight w:val="334"/>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69C58ED8" w14:textId="77777777" w:rsidR="006D7592" w:rsidRDefault="006D7592" w:rsidP="00171332">
            <w:pPr>
              <w:jc w:val="both"/>
              <w:rPr>
                <w:b/>
              </w:rPr>
            </w:pPr>
            <w:r>
              <w:rPr>
                <w:b/>
              </w:rPr>
              <w:t>Assessment Date:</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5B05E66F" w14:textId="4E4D38FB" w:rsidR="006D7592" w:rsidRPr="004770A6" w:rsidRDefault="000334CA" w:rsidP="00171332">
            <w:pPr>
              <w:pStyle w:val="NoSpacing"/>
              <w:rPr>
                <w:rFonts w:cs="Calibri"/>
                <w:szCs w:val="22"/>
              </w:rPr>
            </w:pPr>
            <w:r w:rsidRPr="000334CA">
              <w:rPr>
                <w:rFonts w:cs="Calibri"/>
                <w:noProof/>
                <w:szCs w:val="22"/>
              </w:rPr>
              <w:t>See Module Description Book</w:t>
            </w:r>
          </w:p>
        </w:tc>
      </w:tr>
      <w:tr w:rsidR="006D7592" w14:paraId="75C26B02" w14:textId="77777777" w:rsidTr="00171332">
        <w:trPr>
          <w:trHeight w:val="334"/>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43360CB2" w14:textId="77777777" w:rsidR="006D7592" w:rsidRDefault="006D7592" w:rsidP="00171332">
            <w:pPr>
              <w:jc w:val="both"/>
              <w:rPr>
                <w:b/>
              </w:rPr>
            </w:pPr>
            <w:r>
              <w:rPr>
                <w:b/>
              </w:rPr>
              <w:t>Time and/or venue of taught classes:</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0B91DC70" w14:textId="77777777" w:rsidR="006D7592" w:rsidRPr="004770A6" w:rsidRDefault="006D7592" w:rsidP="00171332">
            <w:pPr>
              <w:pStyle w:val="NoSpacing"/>
              <w:rPr>
                <w:rFonts w:cs="Calibri"/>
                <w:szCs w:val="22"/>
              </w:rPr>
            </w:pPr>
            <w:r w:rsidRPr="004770A6">
              <w:rPr>
                <w:rFonts w:cs="Calibri"/>
                <w:szCs w:val="22"/>
              </w:rPr>
              <w:t>See teaching timetable</w:t>
            </w:r>
          </w:p>
        </w:tc>
      </w:tr>
      <w:tr w:rsidR="006D7592" w14:paraId="544BFC20" w14:textId="77777777" w:rsidTr="00171332">
        <w:trPr>
          <w:trHeight w:val="936"/>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3E902004" w14:textId="77777777" w:rsidR="006D7592" w:rsidRDefault="006D7592" w:rsidP="00171332">
            <w:pPr>
              <w:jc w:val="both"/>
              <w:rPr>
                <w:b/>
              </w:rPr>
            </w:pPr>
            <w:r>
              <w:rPr>
                <w:b/>
              </w:rPr>
              <w:t>Additional Module Information:</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3A290FB2" w14:textId="77777777" w:rsidR="006D7592" w:rsidRPr="004770A6" w:rsidRDefault="006D7592" w:rsidP="00171332">
            <w:pPr>
              <w:pStyle w:val="NoSpacing"/>
              <w:rPr>
                <w:rFonts w:cs="Calibri"/>
                <w:szCs w:val="22"/>
              </w:rPr>
            </w:pPr>
            <w:r>
              <w:rPr>
                <w:rFonts w:cs="Calibri"/>
                <w:szCs w:val="22"/>
              </w:rPr>
              <w:t>None</w:t>
            </w:r>
          </w:p>
        </w:tc>
      </w:tr>
    </w:tbl>
    <w:p w14:paraId="02143703" w14:textId="77777777" w:rsidR="006D7592" w:rsidRPr="00B7381E" w:rsidRDefault="006D7592" w:rsidP="006D7592"/>
    <w:tbl>
      <w:tblPr>
        <w:tblpPr w:leftFromText="180" w:rightFromText="180" w:vertAnchor="text" w:horzAnchor="margin" w:tblpXSpec="center" w:tblpY="-27"/>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8"/>
      </w:tblGrid>
      <w:tr w:rsidR="006D7592" w14:paraId="7B57DA37" w14:textId="77777777" w:rsidTr="00F55914">
        <w:trPr>
          <w:trHeight w:val="170"/>
        </w:trPr>
        <w:tc>
          <w:tcPr>
            <w:tcW w:w="10748" w:type="dxa"/>
            <w:tcBorders>
              <w:top w:val="nil"/>
              <w:left w:val="nil"/>
              <w:bottom w:val="nil"/>
              <w:right w:val="nil"/>
            </w:tcBorders>
            <w:shd w:val="clear" w:color="auto" w:fill="D3E5F9"/>
            <w:vAlign w:val="center"/>
          </w:tcPr>
          <w:p w14:paraId="5C8F2A55" w14:textId="77777777" w:rsidR="006D7592" w:rsidRPr="00BB03C8" w:rsidRDefault="006D7592" w:rsidP="00F55914">
            <w:pPr>
              <w:jc w:val="center"/>
              <w:rPr>
                <w:b/>
              </w:rPr>
            </w:pPr>
            <w:r w:rsidRPr="00BB03C8">
              <w:rPr>
                <w:b/>
                <w:sz w:val="24"/>
              </w:rPr>
              <w:t>Teaching Team and Contact Details</w:t>
            </w:r>
          </w:p>
        </w:tc>
      </w:tr>
    </w:tbl>
    <w:tbl>
      <w:tblPr>
        <w:tblStyle w:val="TableGrid"/>
        <w:tblpPr w:leftFromText="180" w:rightFromText="180" w:vertAnchor="text" w:horzAnchor="margin" w:tblpXSpec="center" w:tblpY="502"/>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302"/>
        <w:gridCol w:w="5330"/>
      </w:tblGrid>
      <w:tr w:rsidR="006D7592" w14:paraId="225BD1BA" w14:textId="77777777" w:rsidTr="00F55914">
        <w:trPr>
          <w:trHeight w:val="510"/>
        </w:trPr>
        <w:tc>
          <w:tcPr>
            <w:tcW w:w="5302" w:type="dxa"/>
            <w:tcBorders>
              <w:top w:val="dotted" w:sz="4" w:space="0" w:color="auto"/>
              <w:left w:val="dotted" w:sz="4" w:space="0" w:color="auto"/>
              <w:bottom w:val="dotted" w:sz="4" w:space="0" w:color="auto"/>
              <w:right w:val="dotted" w:sz="4" w:space="0" w:color="auto"/>
            </w:tcBorders>
            <w:shd w:val="clear" w:color="auto" w:fill="FFFFFF" w:themeFill="background1"/>
          </w:tcPr>
          <w:p w14:paraId="745B70EE" w14:textId="5CFC35C9" w:rsidR="006D7592" w:rsidRPr="007B228A" w:rsidRDefault="006D7592" w:rsidP="00F55914">
            <w:r w:rsidRPr="007B228A">
              <w:t>Name:</w:t>
            </w:r>
            <w:r w:rsidR="007B228A" w:rsidRPr="007B228A">
              <w:t xml:space="preserve">  Professor Jon Festinger Q.C.</w:t>
            </w:r>
          </w:p>
        </w:tc>
        <w:tc>
          <w:tcPr>
            <w:tcW w:w="5330" w:type="dxa"/>
            <w:tcBorders>
              <w:top w:val="dotted" w:sz="4" w:space="0" w:color="auto"/>
              <w:left w:val="dotted" w:sz="4" w:space="0" w:color="auto"/>
              <w:bottom w:val="dotted" w:sz="4" w:space="0" w:color="auto"/>
              <w:right w:val="dotted" w:sz="4" w:space="0" w:color="auto"/>
            </w:tcBorders>
            <w:shd w:val="clear" w:color="auto" w:fill="FFFFFF" w:themeFill="background1"/>
          </w:tcPr>
          <w:p w14:paraId="73084B86" w14:textId="65322374" w:rsidR="006D7592" w:rsidRPr="007B228A" w:rsidRDefault="006D7592" w:rsidP="00F55914">
            <w:pPr>
              <w:rPr>
                <w:i/>
              </w:rPr>
            </w:pPr>
            <w:r w:rsidRPr="007B228A">
              <w:rPr>
                <w:i/>
              </w:rPr>
              <w:t>EMAIL ADDRESS</w:t>
            </w:r>
            <w:r w:rsidR="007B228A" w:rsidRPr="007B228A">
              <w:rPr>
                <w:i/>
              </w:rPr>
              <w:t xml:space="preserve">: </w:t>
            </w:r>
            <w:r w:rsidR="007B228A" w:rsidRPr="007B228A">
              <w:t xml:space="preserve"> </w:t>
            </w:r>
            <w:r w:rsidR="007B228A" w:rsidRPr="007B228A">
              <w:rPr>
                <w:i/>
              </w:rPr>
              <w:t>jon.festinger@ubc.ca</w:t>
            </w:r>
          </w:p>
          <w:p w14:paraId="459C9062" w14:textId="77777777" w:rsidR="006D7592" w:rsidRPr="007B228A" w:rsidRDefault="006D7592" w:rsidP="007B228A"/>
        </w:tc>
      </w:tr>
    </w:tbl>
    <w:p w14:paraId="32C41627" w14:textId="77777777" w:rsidR="006D7592" w:rsidRDefault="006D7592" w:rsidP="006D7592"/>
    <w:tbl>
      <w:tblPr>
        <w:tblpPr w:leftFromText="180" w:rightFromText="180" w:vertAnchor="text" w:horzAnchor="margin" w:tblpXSpec="center" w:tblpY="-27"/>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8"/>
      </w:tblGrid>
      <w:tr w:rsidR="006D7592" w14:paraId="3E46B321" w14:textId="77777777" w:rsidTr="00F55914">
        <w:trPr>
          <w:trHeight w:val="170"/>
        </w:trPr>
        <w:tc>
          <w:tcPr>
            <w:tcW w:w="10748" w:type="dxa"/>
            <w:tcBorders>
              <w:top w:val="nil"/>
              <w:left w:val="nil"/>
              <w:bottom w:val="nil"/>
              <w:right w:val="nil"/>
            </w:tcBorders>
            <w:shd w:val="clear" w:color="auto" w:fill="D3E5F9"/>
            <w:vAlign w:val="center"/>
          </w:tcPr>
          <w:p w14:paraId="27929ABB" w14:textId="77777777" w:rsidR="006D7592" w:rsidRPr="00BB03C8" w:rsidRDefault="006D7592" w:rsidP="00F55914">
            <w:pPr>
              <w:jc w:val="center"/>
              <w:rPr>
                <w:b/>
              </w:rPr>
            </w:pPr>
            <w:r>
              <w:rPr>
                <w:b/>
                <w:sz w:val="24"/>
              </w:rPr>
              <w:t>Module Overview</w:t>
            </w:r>
          </w:p>
        </w:tc>
      </w:tr>
    </w:tbl>
    <w:tbl>
      <w:tblPr>
        <w:tblStyle w:val="TableGrid"/>
        <w:tblpPr w:leftFromText="180" w:rightFromText="180" w:vertAnchor="text" w:horzAnchor="margin" w:tblpXSpec="center" w:tblpY="492"/>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699"/>
      </w:tblGrid>
      <w:tr w:rsidR="006D7592" w14:paraId="0B54256E" w14:textId="77777777" w:rsidTr="007B228A">
        <w:trPr>
          <w:trHeight w:val="1266"/>
        </w:trPr>
        <w:tc>
          <w:tcPr>
            <w:tcW w:w="10699" w:type="dxa"/>
            <w:tcBorders>
              <w:top w:val="dotted" w:sz="4" w:space="0" w:color="auto"/>
              <w:left w:val="dotted" w:sz="4" w:space="0" w:color="auto"/>
              <w:bottom w:val="dotted" w:sz="4" w:space="0" w:color="auto"/>
              <w:right w:val="dotted" w:sz="4" w:space="0" w:color="auto"/>
            </w:tcBorders>
            <w:shd w:val="clear" w:color="auto" w:fill="FFFFFF" w:themeFill="background1"/>
          </w:tcPr>
          <w:p w14:paraId="3689420E" w14:textId="77777777" w:rsidR="006D7592" w:rsidRDefault="006D7592" w:rsidP="00F55914">
            <w:pPr>
              <w:rPr>
                <w:i/>
              </w:rPr>
            </w:pPr>
          </w:p>
          <w:p w14:paraId="4AB7E189" w14:textId="77777777" w:rsidR="006D7592" w:rsidRPr="006D7592" w:rsidRDefault="006D7592" w:rsidP="00F55914">
            <w:pPr>
              <w:rPr>
                <w:i/>
              </w:rPr>
            </w:pPr>
            <w:r>
              <w:rPr>
                <w:rFonts w:ascii="Source Sans Pro" w:hAnsi="Source Sans Pro"/>
                <w:color w:val="454545"/>
                <w:spacing w:val="2"/>
                <w:shd w:val="clear" w:color="auto" w:fill="FFFFFF"/>
              </w:rPr>
              <w:t>Esports law focuses on the legal, contractual, commercial and regulatory issues that affect competitive video gaming. The module recognises the magnitude of the phenomenon and delineates the legal and commercial parameters under which esports industries operates.</w:t>
            </w:r>
          </w:p>
        </w:tc>
      </w:tr>
    </w:tbl>
    <w:p w14:paraId="362CAC93" w14:textId="77777777" w:rsidR="006D7592" w:rsidRDefault="006D7592" w:rsidP="006D7592">
      <w:pPr>
        <w:jc w:val="center"/>
      </w:pPr>
    </w:p>
    <w:p w14:paraId="6AE56568" w14:textId="77777777" w:rsidR="006D7592" w:rsidRDefault="006D7592" w:rsidP="006D7592">
      <w:pPr>
        <w:jc w:val="center"/>
      </w:pPr>
    </w:p>
    <w:tbl>
      <w:tblPr>
        <w:tblpPr w:leftFromText="180" w:rightFromText="180" w:vertAnchor="text" w:horzAnchor="margin" w:tblpXSpec="center" w:tblpY="-27"/>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8"/>
      </w:tblGrid>
      <w:tr w:rsidR="006D7592" w14:paraId="54FE9EB6" w14:textId="77777777" w:rsidTr="00F55914">
        <w:trPr>
          <w:trHeight w:val="170"/>
        </w:trPr>
        <w:tc>
          <w:tcPr>
            <w:tcW w:w="10748" w:type="dxa"/>
            <w:tcBorders>
              <w:top w:val="nil"/>
              <w:left w:val="nil"/>
              <w:bottom w:val="nil"/>
              <w:right w:val="nil"/>
            </w:tcBorders>
            <w:shd w:val="clear" w:color="auto" w:fill="D3E5F9"/>
            <w:vAlign w:val="center"/>
          </w:tcPr>
          <w:p w14:paraId="7D703718" w14:textId="77777777" w:rsidR="006D7592" w:rsidRPr="00BB03C8" w:rsidRDefault="006D7592" w:rsidP="00F55914">
            <w:pPr>
              <w:jc w:val="center"/>
              <w:rPr>
                <w:b/>
              </w:rPr>
            </w:pPr>
            <w:r>
              <w:rPr>
                <w:b/>
                <w:sz w:val="24"/>
              </w:rPr>
              <w:t>Module Weekly Syllabus</w:t>
            </w:r>
          </w:p>
        </w:tc>
      </w:tr>
    </w:tbl>
    <w:tbl>
      <w:tblPr>
        <w:tblStyle w:val="TableGrid"/>
        <w:tblpPr w:leftFromText="180" w:rightFromText="180" w:vertAnchor="text" w:horzAnchor="margin" w:tblpXSpec="center" w:tblpY="492"/>
        <w:tblW w:w="10699" w:type="dxa"/>
        <w:tblBorders>
          <w:top w:val="dashSmallGap" w:sz="4" w:space="0" w:color="AEAAAA" w:themeColor="background2" w:themeShade="BF"/>
          <w:left w:val="dashSmallGap" w:sz="4" w:space="0" w:color="AEAAAA" w:themeColor="background2" w:themeShade="BF"/>
          <w:bottom w:val="dashSmallGap" w:sz="4" w:space="0" w:color="AEAAAA" w:themeColor="background2" w:themeShade="BF"/>
          <w:right w:val="dashSmallGap" w:sz="4" w:space="0" w:color="AEAAAA" w:themeColor="background2" w:themeShade="BF"/>
          <w:insideH w:val="dashSmallGap" w:sz="4" w:space="0" w:color="AEAAAA" w:themeColor="background2" w:themeShade="BF"/>
          <w:insideV w:val="dashSmallGap" w:sz="4" w:space="0" w:color="AEAAAA" w:themeColor="background2" w:themeShade="BF"/>
        </w:tblBorders>
        <w:shd w:val="clear" w:color="auto" w:fill="FFFFFF" w:themeFill="background1"/>
        <w:tblLook w:val="04A0" w:firstRow="1" w:lastRow="0" w:firstColumn="1" w:lastColumn="0" w:noHBand="0" w:noVBand="1"/>
      </w:tblPr>
      <w:tblGrid>
        <w:gridCol w:w="3964"/>
        <w:gridCol w:w="6735"/>
      </w:tblGrid>
      <w:tr w:rsidR="006D7592" w14:paraId="059E5D4D" w14:textId="77777777" w:rsidTr="00F55914">
        <w:trPr>
          <w:trHeight w:val="274"/>
        </w:trPr>
        <w:tc>
          <w:tcPr>
            <w:tcW w:w="10699"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471B83DC" w14:textId="7E22389F" w:rsidR="006D7592" w:rsidRPr="0014486F" w:rsidRDefault="007B228A" w:rsidP="00F55914">
            <w:pPr>
              <w:jc w:val="center"/>
              <w:rPr>
                <w:b/>
                <w:color w:val="00B050"/>
              </w:rPr>
            </w:pPr>
            <w:r>
              <w:rPr>
                <w:b/>
              </w:rPr>
              <w:t xml:space="preserve">Esports is </w:t>
            </w:r>
            <w:r w:rsidRPr="009F500C">
              <w:rPr>
                <w:b/>
                <w:bCs/>
              </w:rPr>
              <w:t>fast</w:t>
            </w:r>
            <w:r w:rsidRPr="00F31FDC">
              <w:rPr>
                <w:b/>
              </w:rPr>
              <w:t xml:space="preserve"> evolving thus the syllabus below is subject to changes</w:t>
            </w:r>
          </w:p>
        </w:tc>
      </w:tr>
      <w:tr w:rsidR="006D7592" w14:paraId="585E28D8" w14:textId="77777777" w:rsidTr="00F55914">
        <w:trPr>
          <w:trHeight w:val="274"/>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14:paraId="276E064D" w14:textId="77777777" w:rsidR="006D7592" w:rsidRPr="0014486F" w:rsidRDefault="006D7592" w:rsidP="00F55914">
            <w:pPr>
              <w:rPr>
                <w:color w:val="00B050"/>
              </w:rPr>
            </w:pPr>
            <w:r w:rsidRPr="0014486F">
              <w:rPr>
                <w:b/>
              </w:rPr>
              <w:t>Week 1:</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14:paraId="0935E534" w14:textId="77777777" w:rsidR="007B228A" w:rsidRPr="009B6487" w:rsidRDefault="007B228A" w:rsidP="007B228A">
            <w:pPr>
              <w:spacing w:before="120"/>
              <w:jc w:val="center"/>
              <w:rPr>
                <w:b/>
                <w:bCs/>
              </w:rPr>
            </w:pPr>
            <w:r w:rsidRPr="009B6487">
              <w:rPr>
                <w:b/>
                <w:bCs/>
              </w:rPr>
              <w:t>Introduction to Esports Law</w:t>
            </w:r>
          </w:p>
          <w:p w14:paraId="17432CF7" w14:textId="77777777" w:rsidR="006D7592" w:rsidRDefault="007B228A" w:rsidP="007B228A">
            <w:pPr>
              <w:jc w:val="center"/>
              <w:rPr>
                <w:rFonts w:cs="Calibri"/>
                <w:sz w:val="20"/>
                <w:szCs w:val="20"/>
              </w:rPr>
            </w:pPr>
            <w:r w:rsidRPr="009B6487">
              <w:rPr>
                <w:rFonts w:cs="Calibri"/>
                <w:sz w:val="20"/>
                <w:szCs w:val="20"/>
              </w:rPr>
              <w:t>Structure and aims of the course, an overview of the legal and regulatory landscape of the Esports industry, the stakeholders and the challenges they are facing.</w:t>
            </w:r>
          </w:p>
          <w:p w14:paraId="3E8D9371" w14:textId="5DBC2E25" w:rsidR="007B228A" w:rsidRPr="0014486F" w:rsidRDefault="007B228A" w:rsidP="007B228A">
            <w:pPr>
              <w:jc w:val="center"/>
              <w:rPr>
                <w:color w:val="00B050"/>
              </w:rPr>
            </w:pPr>
          </w:p>
        </w:tc>
      </w:tr>
      <w:tr w:rsidR="006D7592" w14:paraId="332AE99F" w14:textId="77777777" w:rsidTr="00F55914">
        <w:trPr>
          <w:trHeight w:val="274"/>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14:paraId="2F51DBA8" w14:textId="77777777" w:rsidR="006D7592" w:rsidRDefault="006D7592" w:rsidP="00F55914">
            <w:pPr>
              <w:rPr>
                <w:b/>
              </w:rPr>
            </w:pPr>
            <w:r>
              <w:rPr>
                <w:b/>
              </w:rPr>
              <w:t>Week 2</w:t>
            </w:r>
            <w:r w:rsidRPr="00B7381E">
              <w:rPr>
                <w:b/>
              </w:rPr>
              <w:t>:</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14:paraId="075E1791" w14:textId="77777777" w:rsidR="007B228A" w:rsidRPr="009B6487" w:rsidRDefault="007B228A" w:rsidP="007B228A">
            <w:pPr>
              <w:spacing w:before="120"/>
              <w:jc w:val="center"/>
              <w:rPr>
                <w:b/>
                <w:bCs/>
              </w:rPr>
            </w:pPr>
            <w:r w:rsidRPr="009B6487">
              <w:rPr>
                <w:b/>
                <w:bCs/>
              </w:rPr>
              <w:t>Models, Governance &amp; Investment</w:t>
            </w:r>
          </w:p>
          <w:p w14:paraId="1ACDE708" w14:textId="77777777" w:rsidR="006D7592" w:rsidRDefault="007B228A" w:rsidP="007B228A">
            <w:pPr>
              <w:jc w:val="center"/>
              <w:rPr>
                <w:sz w:val="20"/>
                <w:szCs w:val="20"/>
              </w:rPr>
            </w:pPr>
            <w:r w:rsidRPr="009B6487">
              <w:rPr>
                <w:sz w:val="20"/>
                <w:szCs w:val="20"/>
              </w:rPr>
              <w:t>Leagues, Teams, Clubs, Developer/Publisher Roles &amp; Responsibilities</w:t>
            </w:r>
          </w:p>
          <w:p w14:paraId="09EF0F4E" w14:textId="57EF84FE" w:rsidR="007B228A" w:rsidRPr="00162724" w:rsidRDefault="007B228A" w:rsidP="007B228A">
            <w:pPr>
              <w:jc w:val="center"/>
              <w:rPr>
                <w:color w:val="FF0000"/>
              </w:rPr>
            </w:pPr>
          </w:p>
        </w:tc>
      </w:tr>
      <w:tr w:rsidR="006D7592" w14:paraId="7F692D15" w14:textId="77777777" w:rsidTr="00F55914">
        <w:trPr>
          <w:trHeight w:val="274"/>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14:paraId="10513AC7" w14:textId="77777777" w:rsidR="006D7592" w:rsidRDefault="006D7592" w:rsidP="00F55914">
            <w:pPr>
              <w:rPr>
                <w:b/>
              </w:rPr>
            </w:pPr>
            <w:r>
              <w:rPr>
                <w:b/>
              </w:rPr>
              <w:t>Week 3</w:t>
            </w:r>
            <w:r w:rsidRPr="00B7381E">
              <w:rPr>
                <w:b/>
              </w:rPr>
              <w:t>:</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14:paraId="75A86C48" w14:textId="77777777" w:rsidR="007B228A" w:rsidRPr="009B6487" w:rsidRDefault="007B228A" w:rsidP="007B228A">
            <w:pPr>
              <w:spacing w:before="120"/>
              <w:jc w:val="center"/>
              <w:rPr>
                <w:b/>
                <w:bCs/>
              </w:rPr>
            </w:pPr>
            <w:r w:rsidRPr="009B6487">
              <w:rPr>
                <w:b/>
                <w:bCs/>
              </w:rPr>
              <w:t>Commercial Aspects</w:t>
            </w:r>
          </w:p>
          <w:p w14:paraId="5718908E" w14:textId="461B9B88" w:rsidR="006D7592" w:rsidRDefault="007B228A" w:rsidP="00F55914">
            <w:pPr>
              <w:jc w:val="center"/>
              <w:rPr>
                <w:color w:val="FF0000"/>
              </w:rPr>
            </w:pPr>
            <w:r w:rsidRPr="009B6487">
              <w:t>Including player Contracts, Sponsorships, Broadcast/media rights</w:t>
            </w:r>
          </w:p>
          <w:p w14:paraId="646E8820" w14:textId="77777777" w:rsidR="006D7592" w:rsidRPr="00162724" w:rsidRDefault="006D7592" w:rsidP="00F55914">
            <w:pPr>
              <w:jc w:val="center"/>
              <w:rPr>
                <w:color w:val="FF0000"/>
              </w:rPr>
            </w:pPr>
          </w:p>
        </w:tc>
      </w:tr>
      <w:tr w:rsidR="006D7592" w14:paraId="2FAE56D8" w14:textId="77777777" w:rsidTr="00F55914">
        <w:trPr>
          <w:trHeight w:val="274"/>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14:paraId="00F36955" w14:textId="77777777" w:rsidR="006D7592" w:rsidRDefault="006D7592" w:rsidP="00F55914">
            <w:pPr>
              <w:rPr>
                <w:b/>
              </w:rPr>
            </w:pPr>
            <w:r>
              <w:rPr>
                <w:b/>
              </w:rPr>
              <w:t>Week 4</w:t>
            </w:r>
            <w:r w:rsidRPr="00B7381E">
              <w:rPr>
                <w:b/>
              </w:rPr>
              <w:t>:</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14:paraId="20A022FC" w14:textId="77777777" w:rsidR="007B228A" w:rsidRPr="009B6487" w:rsidRDefault="007B228A" w:rsidP="007B228A">
            <w:pPr>
              <w:spacing w:before="120"/>
              <w:jc w:val="center"/>
              <w:rPr>
                <w:b/>
                <w:bCs/>
              </w:rPr>
            </w:pPr>
            <w:r w:rsidRPr="009B6487">
              <w:rPr>
                <w:b/>
                <w:bCs/>
              </w:rPr>
              <w:t>Intellectual Property Law</w:t>
            </w:r>
          </w:p>
          <w:p w14:paraId="151C882C" w14:textId="3A6AD3F2" w:rsidR="006D7592" w:rsidRDefault="007B228A" w:rsidP="007B228A">
            <w:pPr>
              <w:jc w:val="center"/>
              <w:rPr>
                <w:color w:val="FF0000"/>
              </w:rPr>
            </w:pPr>
            <w:r w:rsidRPr="009B6487">
              <w:t>Licensing, Streaming &amp; Social Media Issues</w:t>
            </w:r>
          </w:p>
          <w:p w14:paraId="69063F11" w14:textId="77777777" w:rsidR="006D7592" w:rsidRPr="00162724" w:rsidRDefault="006D7592" w:rsidP="00F55914">
            <w:pPr>
              <w:jc w:val="center"/>
              <w:rPr>
                <w:color w:val="FF0000"/>
              </w:rPr>
            </w:pPr>
          </w:p>
        </w:tc>
      </w:tr>
      <w:tr w:rsidR="006D7592" w14:paraId="4154707D" w14:textId="77777777" w:rsidTr="00F55914">
        <w:trPr>
          <w:trHeight w:val="274"/>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14:paraId="4E465F3B" w14:textId="77777777" w:rsidR="006D7592" w:rsidRDefault="006D7592" w:rsidP="00F55914">
            <w:pPr>
              <w:rPr>
                <w:b/>
              </w:rPr>
            </w:pPr>
            <w:r>
              <w:rPr>
                <w:b/>
              </w:rPr>
              <w:t>Week 5</w:t>
            </w:r>
            <w:r w:rsidRPr="00B7381E">
              <w:rPr>
                <w:b/>
              </w:rPr>
              <w:t>:</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14:paraId="74318F2B" w14:textId="77777777" w:rsidR="007B228A" w:rsidRPr="009B6487" w:rsidRDefault="007B228A" w:rsidP="007B228A">
            <w:pPr>
              <w:spacing w:before="120"/>
              <w:jc w:val="center"/>
              <w:rPr>
                <w:b/>
                <w:bCs/>
              </w:rPr>
            </w:pPr>
            <w:r w:rsidRPr="009B6487">
              <w:rPr>
                <w:b/>
                <w:bCs/>
              </w:rPr>
              <w:t>Regulation</w:t>
            </w:r>
          </w:p>
          <w:p w14:paraId="2C4E50BF" w14:textId="77777777" w:rsidR="007B228A" w:rsidRPr="009B6487" w:rsidRDefault="007B228A" w:rsidP="007B228A">
            <w:pPr>
              <w:jc w:val="center"/>
            </w:pPr>
            <w:r w:rsidRPr="009B6487">
              <w:t>Including Advertising, Gambling, Immigration, Drugs &amp; Cheating, Misogyny &amp; Abuse, Unionization</w:t>
            </w:r>
          </w:p>
          <w:p w14:paraId="73B95D93" w14:textId="668A82B6" w:rsidR="006D7592" w:rsidRDefault="007B228A" w:rsidP="00F55914">
            <w:pPr>
              <w:jc w:val="center"/>
              <w:rPr>
                <w:color w:val="FF0000"/>
              </w:rPr>
            </w:pPr>
            <w:r w:rsidRPr="009B6487">
              <w:rPr>
                <w:b/>
                <w:bCs/>
              </w:rPr>
              <w:t>The Future of Esports</w:t>
            </w:r>
          </w:p>
          <w:p w14:paraId="2947C4C5" w14:textId="77777777" w:rsidR="006D7592" w:rsidRPr="00162724" w:rsidRDefault="006D7592" w:rsidP="00F55914">
            <w:pPr>
              <w:jc w:val="center"/>
              <w:rPr>
                <w:color w:val="FF0000"/>
              </w:rPr>
            </w:pPr>
          </w:p>
        </w:tc>
      </w:tr>
    </w:tbl>
    <w:p w14:paraId="437301E2" w14:textId="77777777" w:rsidR="006D7592" w:rsidRDefault="006D7592" w:rsidP="006D7592"/>
    <w:p w14:paraId="2E1C256D" w14:textId="77777777" w:rsidR="006D7592" w:rsidRDefault="006D7592" w:rsidP="006D7592"/>
    <w:tbl>
      <w:tblPr>
        <w:tblpPr w:leftFromText="180" w:rightFromText="180" w:vertAnchor="text" w:horzAnchor="margin" w:tblpXSpec="center" w:tblpY="160"/>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8"/>
      </w:tblGrid>
      <w:tr w:rsidR="006D7592" w14:paraId="5EA8EB0A" w14:textId="77777777" w:rsidTr="00F55914">
        <w:trPr>
          <w:trHeight w:val="170"/>
        </w:trPr>
        <w:tc>
          <w:tcPr>
            <w:tcW w:w="10748" w:type="dxa"/>
            <w:tcBorders>
              <w:top w:val="nil"/>
              <w:left w:val="nil"/>
              <w:bottom w:val="nil"/>
              <w:right w:val="nil"/>
            </w:tcBorders>
            <w:shd w:val="clear" w:color="auto" w:fill="D3E5F9"/>
            <w:vAlign w:val="center"/>
          </w:tcPr>
          <w:p w14:paraId="08D496C6" w14:textId="77777777" w:rsidR="006D7592" w:rsidRPr="00BB03C8" w:rsidRDefault="006D7592" w:rsidP="00F55914">
            <w:pPr>
              <w:jc w:val="center"/>
              <w:rPr>
                <w:b/>
              </w:rPr>
            </w:pPr>
            <w:r>
              <w:rPr>
                <w:b/>
                <w:sz w:val="24"/>
              </w:rPr>
              <w:t xml:space="preserve">Reading List </w:t>
            </w:r>
          </w:p>
        </w:tc>
      </w:tr>
    </w:tbl>
    <w:tbl>
      <w:tblPr>
        <w:tblStyle w:val="TableGrid"/>
        <w:tblpPr w:leftFromText="180" w:rightFromText="180" w:vertAnchor="text" w:horzAnchor="page" w:tblpX="621" w:tblpY="860"/>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627"/>
      </w:tblGrid>
      <w:tr w:rsidR="006D7592" w14:paraId="728773A1" w14:textId="77777777" w:rsidTr="00F55914">
        <w:trPr>
          <w:trHeight w:val="964"/>
        </w:trPr>
        <w:tc>
          <w:tcPr>
            <w:tcW w:w="10627" w:type="dxa"/>
            <w:tcBorders>
              <w:top w:val="dotted" w:sz="4" w:space="0" w:color="auto"/>
              <w:left w:val="dotted" w:sz="4" w:space="0" w:color="auto"/>
              <w:bottom w:val="dotted" w:sz="4" w:space="0" w:color="auto"/>
              <w:right w:val="dotted" w:sz="4" w:space="0" w:color="auto"/>
            </w:tcBorders>
            <w:shd w:val="clear" w:color="auto" w:fill="FFFFFF" w:themeFill="background1"/>
          </w:tcPr>
          <w:p w14:paraId="114DD8EB" w14:textId="25B26A5D" w:rsidR="006D7592" w:rsidRPr="008B6EEE" w:rsidRDefault="007B228A" w:rsidP="00F55914">
            <w:r w:rsidRPr="00F31FDC">
              <w:t>Re</w:t>
            </w:r>
            <w:r>
              <w:t>ading</w:t>
            </w:r>
            <w:r w:rsidRPr="00F31FDC">
              <w:t xml:space="preserve"> list and materials will be available on QM+</w:t>
            </w:r>
          </w:p>
        </w:tc>
      </w:tr>
    </w:tbl>
    <w:p w14:paraId="40DB12E2" w14:textId="77777777" w:rsidR="006D7592" w:rsidRPr="006D7592" w:rsidRDefault="006D7592" w:rsidP="006D7592">
      <w:pPr>
        <w:tabs>
          <w:tab w:val="left" w:pos="6810"/>
        </w:tabs>
      </w:pPr>
    </w:p>
    <w:sectPr w:rsidR="006D7592" w:rsidRPr="006D75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MzQ1MbE0tzCyNDdR0lEKTi0uzszPAykwrAUAPywAGCwAAAA="/>
  </w:docVars>
  <w:rsids>
    <w:rsidRoot w:val="006D7592"/>
    <w:rsid w:val="000334CA"/>
    <w:rsid w:val="0017011F"/>
    <w:rsid w:val="00171332"/>
    <w:rsid w:val="00374745"/>
    <w:rsid w:val="00437C1C"/>
    <w:rsid w:val="006D7592"/>
    <w:rsid w:val="007B228A"/>
    <w:rsid w:val="007C225E"/>
    <w:rsid w:val="009930D9"/>
    <w:rsid w:val="00CB1623"/>
    <w:rsid w:val="00E6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680E"/>
  <w15:chartTrackingRefBased/>
  <w15:docId w15:val="{DB35B238-C8BE-4ED3-BCBB-CBDA2B68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7592"/>
    <w:pPr>
      <w:spacing w:after="0" w:line="240" w:lineRule="auto"/>
    </w:pPr>
    <w:rPr>
      <w:rFonts w:ascii="Calibri" w:eastAsia="Calibri" w:hAnsi="Calibri" w:cs="Times New Roman"/>
      <w:szCs w:val="24"/>
    </w:rPr>
  </w:style>
  <w:style w:type="table" w:styleId="TableGrid">
    <w:name w:val="Table Grid"/>
    <w:basedOn w:val="TableNormal"/>
    <w:uiPriority w:val="39"/>
    <w:rsid w:val="006D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75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Tahmima Choudhury</dc:creator>
  <cp:keywords/>
  <dc:description/>
  <cp:lastModifiedBy>Gaetano Dimita</cp:lastModifiedBy>
  <cp:revision>3</cp:revision>
  <dcterms:created xsi:type="dcterms:W3CDTF">2024-08-13T08:11:00Z</dcterms:created>
  <dcterms:modified xsi:type="dcterms:W3CDTF">2024-08-13T08:12:00Z</dcterms:modified>
</cp:coreProperties>
</file>