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7F5C6" w14:textId="77777777" w:rsidR="00A01A59" w:rsidRDefault="00A01A59" w:rsidP="00A01A59">
      <w:pPr>
        <w:jc w:val="center"/>
      </w:pPr>
      <w:r w:rsidRPr="00F004E5">
        <w:rPr>
          <w:rFonts w:cs="Calibri"/>
          <w:b/>
          <w:noProof/>
          <w:szCs w:val="22"/>
          <w:lang w:eastAsia="en-GB"/>
        </w:rPr>
        <w:drawing>
          <wp:anchor distT="0" distB="0" distL="114300" distR="114300" simplePos="0" relativeHeight="251659264" behindDoc="1" locked="0" layoutInCell="1" allowOverlap="1" wp14:anchorId="7145AC7F" wp14:editId="16208F64">
            <wp:simplePos x="0" y="0"/>
            <wp:positionH relativeFrom="margin">
              <wp:posOffset>1468755</wp:posOffset>
            </wp:positionH>
            <wp:positionV relativeFrom="paragraph">
              <wp:posOffset>0</wp:posOffset>
            </wp:positionV>
            <wp:extent cx="3253105" cy="809625"/>
            <wp:effectExtent l="0" t="0" r="4445" b="9525"/>
            <wp:wrapSquare wrapText="bothSides"/>
            <wp:docPr id="1" name="Picture 1" descr="qm logo large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m logo large blu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5310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8C8B32" w14:textId="77777777" w:rsidR="00A01A59" w:rsidRPr="005D7614" w:rsidRDefault="00A01A59" w:rsidP="00A01A59"/>
    <w:p w14:paraId="58C4B49C" w14:textId="77777777" w:rsidR="00A01A59" w:rsidRPr="005D7614" w:rsidRDefault="00A01A59" w:rsidP="00A01A59"/>
    <w:p w14:paraId="0D51AE66" w14:textId="77777777" w:rsidR="00A01A59" w:rsidRPr="005D7614" w:rsidRDefault="00A01A59" w:rsidP="00A01A59"/>
    <w:tbl>
      <w:tblPr>
        <w:tblpPr w:leftFromText="180" w:rightFromText="180" w:vertAnchor="text" w:horzAnchor="margin" w:tblpXSpec="center" w:tblpY="275"/>
        <w:tblW w:w="10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3"/>
      </w:tblGrid>
      <w:tr w:rsidR="00A01A59" w14:paraId="519749F3" w14:textId="77777777" w:rsidTr="00106235">
        <w:trPr>
          <w:trHeight w:val="1493"/>
        </w:trPr>
        <w:tc>
          <w:tcPr>
            <w:tcW w:w="10763" w:type="dxa"/>
            <w:tcBorders>
              <w:top w:val="nil"/>
              <w:left w:val="nil"/>
              <w:bottom w:val="nil"/>
              <w:right w:val="nil"/>
            </w:tcBorders>
            <w:shd w:val="clear" w:color="auto" w:fill="D3E5F9"/>
            <w:vAlign w:val="center"/>
          </w:tcPr>
          <w:p w14:paraId="119C3DD9" w14:textId="48384D44" w:rsidR="00A01A59" w:rsidRDefault="00A01A59" w:rsidP="00106235">
            <w:pPr>
              <w:jc w:val="center"/>
              <w:rPr>
                <w:b/>
                <w:sz w:val="28"/>
                <w:u w:val="single"/>
              </w:rPr>
            </w:pPr>
            <w:r w:rsidRPr="008F275D">
              <w:rPr>
                <w:b/>
                <w:sz w:val="28"/>
                <w:u w:val="single"/>
              </w:rPr>
              <w:t>SCHOOL OF LAW 20</w:t>
            </w:r>
            <w:r>
              <w:rPr>
                <w:b/>
                <w:sz w:val="28"/>
                <w:u w:val="single"/>
              </w:rPr>
              <w:t>2</w:t>
            </w:r>
            <w:r w:rsidR="00A5598C">
              <w:rPr>
                <w:b/>
                <w:sz w:val="28"/>
                <w:u w:val="single"/>
              </w:rPr>
              <w:t>4</w:t>
            </w:r>
            <w:r w:rsidRPr="008F275D">
              <w:rPr>
                <w:b/>
                <w:sz w:val="28"/>
                <w:u w:val="single"/>
              </w:rPr>
              <w:t>-202</w:t>
            </w:r>
            <w:r w:rsidR="00A5598C">
              <w:rPr>
                <w:b/>
                <w:sz w:val="28"/>
                <w:u w:val="single"/>
              </w:rPr>
              <w:t>5</w:t>
            </w:r>
            <w:r w:rsidRPr="008F275D">
              <w:rPr>
                <w:b/>
                <w:sz w:val="28"/>
                <w:u w:val="single"/>
              </w:rPr>
              <w:t>: LLM MODULE SYLLABUS</w:t>
            </w:r>
          </w:p>
          <w:p w14:paraId="31FD698D" w14:textId="7B82CB9B" w:rsidR="00A01A59" w:rsidRPr="00127F35" w:rsidRDefault="00A01A59" w:rsidP="00106235">
            <w:pPr>
              <w:jc w:val="center"/>
              <w:rPr>
                <w:sz w:val="28"/>
              </w:rPr>
            </w:pPr>
            <w:r w:rsidRPr="00127F35">
              <w:rPr>
                <w:sz w:val="28"/>
              </w:rPr>
              <w:t xml:space="preserve">Teaching in </w:t>
            </w:r>
            <w:r>
              <w:rPr>
                <w:sz w:val="28"/>
              </w:rPr>
              <w:t>A2</w:t>
            </w:r>
            <w:r w:rsidR="00657684">
              <w:rPr>
                <w:sz w:val="28"/>
              </w:rPr>
              <w:t>4</w:t>
            </w:r>
            <w:r>
              <w:rPr>
                <w:sz w:val="28"/>
              </w:rPr>
              <w:t xml:space="preserve"> and B2</w:t>
            </w:r>
            <w:r w:rsidR="00657684">
              <w:rPr>
                <w:sz w:val="28"/>
              </w:rPr>
              <w:t>4</w:t>
            </w:r>
            <w:r>
              <w:rPr>
                <w:sz w:val="28"/>
              </w:rPr>
              <w:t xml:space="preserve"> is in two </w:t>
            </w:r>
            <w:proofErr w:type="gramStart"/>
            <w:r w:rsidRPr="00127F35">
              <w:rPr>
                <w:sz w:val="28"/>
              </w:rPr>
              <w:t>5 week</w:t>
            </w:r>
            <w:proofErr w:type="gramEnd"/>
            <w:r w:rsidRPr="00127F35">
              <w:rPr>
                <w:sz w:val="28"/>
              </w:rPr>
              <w:t xml:space="preserve"> blocks</w:t>
            </w:r>
            <w:r>
              <w:rPr>
                <w:sz w:val="28"/>
              </w:rPr>
              <w:t xml:space="preserve"> with study week between them.</w:t>
            </w:r>
          </w:p>
          <w:p w14:paraId="61C71725" w14:textId="77777777" w:rsidR="00A01A59" w:rsidRDefault="00A01A59" w:rsidP="00106235">
            <w:pPr>
              <w:jc w:val="center"/>
              <w:rPr>
                <w:sz w:val="28"/>
              </w:rPr>
            </w:pPr>
            <w:r w:rsidRPr="007A4954">
              <w:rPr>
                <w:sz w:val="28"/>
              </w:rPr>
              <w:t xml:space="preserve">30 credits </w:t>
            </w:r>
            <w:r>
              <w:rPr>
                <w:sz w:val="28"/>
              </w:rPr>
              <w:t xml:space="preserve">are </w:t>
            </w:r>
            <w:r w:rsidRPr="007A4954">
              <w:rPr>
                <w:sz w:val="28"/>
              </w:rPr>
              <w:t xml:space="preserve">taught </w:t>
            </w:r>
            <w:r>
              <w:rPr>
                <w:sz w:val="28"/>
              </w:rPr>
              <w:t>within a single semester (10 weeks)</w:t>
            </w:r>
          </w:p>
          <w:p w14:paraId="2DCFC6E0" w14:textId="58062E0B" w:rsidR="00A01A59" w:rsidRDefault="00A01A59" w:rsidP="00106235">
            <w:pPr>
              <w:jc w:val="center"/>
              <w:rPr>
                <w:sz w:val="28"/>
              </w:rPr>
            </w:pPr>
            <w:r w:rsidRPr="007A4954">
              <w:rPr>
                <w:sz w:val="28"/>
              </w:rPr>
              <w:t>15 credits</w:t>
            </w:r>
            <w:r>
              <w:rPr>
                <w:sz w:val="28"/>
              </w:rPr>
              <w:t>:</w:t>
            </w:r>
            <w:r w:rsidRPr="007A4954">
              <w:rPr>
                <w:sz w:val="28"/>
              </w:rPr>
              <w:t xml:space="preserve"> Semester </w:t>
            </w:r>
            <w:r>
              <w:rPr>
                <w:sz w:val="28"/>
              </w:rPr>
              <w:t>A2</w:t>
            </w:r>
            <w:r w:rsidR="00A5598C">
              <w:rPr>
                <w:sz w:val="28"/>
              </w:rPr>
              <w:t>4</w:t>
            </w:r>
            <w:r w:rsidRPr="007A4954">
              <w:rPr>
                <w:sz w:val="28"/>
              </w:rPr>
              <w:t xml:space="preserve"> – Blocks A </w:t>
            </w:r>
            <w:r w:rsidRPr="00127F35">
              <w:rPr>
                <w:b/>
                <w:sz w:val="28"/>
              </w:rPr>
              <w:t>or</w:t>
            </w:r>
            <w:r>
              <w:rPr>
                <w:sz w:val="28"/>
              </w:rPr>
              <w:t xml:space="preserve"> B (5 weeks) / </w:t>
            </w:r>
            <w:r w:rsidRPr="007A4954">
              <w:rPr>
                <w:sz w:val="28"/>
              </w:rPr>
              <w:t xml:space="preserve">Semester </w:t>
            </w:r>
            <w:r>
              <w:rPr>
                <w:sz w:val="28"/>
              </w:rPr>
              <w:t>B2</w:t>
            </w:r>
            <w:r w:rsidR="00A5598C">
              <w:rPr>
                <w:sz w:val="28"/>
              </w:rPr>
              <w:t>4</w:t>
            </w:r>
            <w:r>
              <w:rPr>
                <w:sz w:val="28"/>
              </w:rPr>
              <w:t xml:space="preserve"> - </w:t>
            </w:r>
            <w:r w:rsidRPr="007A4954">
              <w:rPr>
                <w:sz w:val="28"/>
              </w:rPr>
              <w:t xml:space="preserve">Blocks C </w:t>
            </w:r>
            <w:r w:rsidRPr="00127F35">
              <w:rPr>
                <w:b/>
                <w:sz w:val="28"/>
              </w:rPr>
              <w:t>or</w:t>
            </w:r>
            <w:r w:rsidRPr="007A4954">
              <w:rPr>
                <w:sz w:val="28"/>
              </w:rPr>
              <w:t xml:space="preserve"> D</w:t>
            </w:r>
            <w:r>
              <w:rPr>
                <w:sz w:val="28"/>
              </w:rPr>
              <w:t xml:space="preserve"> (5 weeks)</w:t>
            </w:r>
          </w:p>
          <w:p w14:paraId="170D5073" w14:textId="0590910B" w:rsidR="00A01A59" w:rsidRDefault="00A01A59" w:rsidP="00106235">
            <w:pPr>
              <w:jc w:val="center"/>
              <w:rPr>
                <w:sz w:val="28"/>
              </w:rPr>
            </w:pPr>
            <w:r>
              <w:rPr>
                <w:sz w:val="28"/>
              </w:rPr>
              <w:t>Semester C2</w:t>
            </w:r>
            <w:r w:rsidR="00A5598C">
              <w:rPr>
                <w:sz w:val="28"/>
              </w:rPr>
              <w:t>4</w:t>
            </w:r>
            <w:r>
              <w:rPr>
                <w:sz w:val="28"/>
              </w:rPr>
              <w:t xml:space="preserve"> – </w:t>
            </w:r>
            <w:proofErr w:type="gramStart"/>
            <w:r>
              <w:rPr>
                <w:sz w:val="28"/>
              </w:rPr>
              <w:t>5 week</w:t>
            </w:r>
            <w:proofErr w:type="gramEnd"/>
            <w:r>
              <w:rPr>
                <w:sz w:val="28"/>
              </w:rPr>
              <w:t xml:space="preserve"> block only (15 and 30 credits)</w:t>
            </w:r>
          </w:p>
          <w:p w14:paraId="74D413C8" w14:textId="77777777" w:rsidR="00A01A59" w:rsidRPr="007A4954" w:rsidRDefault="00A01A59" w:rsidP="00106235">
            <w:pPr>
              <w:jc w:val="center"/>
              <w:rPr>
                <w:sz w:val="28"/>
              </w:rPr>
            </w:pPr>
            <w:r>
              <w:rPr>
                <w:sz w:val="28"/>
              </w:rPr>
              <w:t>Study Week falls within the two blocks (limited teaching/events/tutorials etc.)</w:t>
            </w:r>
          </w:p>
          <w:p w14:paraId="0707CEDB" w14:textId="77777777" w:rsidR="00A01A59" w:rsidRPr="008F275D" w:rsidRDefault="00A01A59" w:rsidP="00106235">
            <w:pPr>
              <w:jc w:val="center"/>
              <w:rPr>
                <w:b/>
                <w:u w:val="single"/>
              </w:rPr>
            </w:pPr>
          </w:p>
        </w:tc>
      </w:tr>
    </w:tbl>
    <w:p w14:paraId="33FCD76E" w14:textId="77777777" w:rsidR="00A01A59" w:rsidRDefault="00A01A59" w:rsidP="00671F90">
      <w:pPr>
        <w:tabs>
          <w:tab w:val="left" w:pos="1155"/>
        </w:tabs>
        <w:ind w:right="-29"/>
      </w:pPr>
    </w:p>
    <w:tbl>
      <w:tblPr>
        <w:tblStyle w:val="TableGrid"/>
        <w:tblpPr w:leftFromText="180" w:rightFromText="180" w:vertAnchor="text" w:horzAnchor="margin" w:tblpX="-431" w:tblpY="3091"/>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098"/>
        <w:gridCol w:w="5534"/>
      </w:tblGrid>
      <w:tr w:rsidR="00A01A59" w14:paraId="78E66FE9" w14:textId="77777777" w:rsidTr="00671F90">
        <w:trPr>
          <w:trHeight w:val="461"/>
        </w:trPr>
        <w:tc>
          <w:tcPr>
            <w:tcW w:w="5098" w:type="dxa"/>
            <w:tcBorders>
              <w:top w:val="dotted" w:sz="4" w:space="0" w:color="auto"/>
              <w:left w:val="dotted" w:sz="4" w:space="0" w:color="auto"/>
              <w:bottom w:val="dotted" w:sz="4" w:space="0" w:color="auto"/>
              <w:right w:val="dotted" w:sz="4" w:space="0" w:color="auto"/>
            </w:tcBorders>
            <w:shd w:val="clear" w:color="auto" w:fill="FFFFFF" w:themeFill="background1"/>
          </w:tcPr>
          <w:p w14:paraId="05E15CDF" w14:textId="77777777" w:rsidR="00A01A59" w:rsidRPr="00B7381E" w:rsidRDefault="00A01A59" w:rsidP="00671F90">
            <w:pPr>
              <w:rPr>
                <w:b/>
              </w:rPr>
            </w:pPr>
            <w:r w:rsidRPr="00B7381E">
              <w:rPr>
                <w:b/>
              </w:rPr>
              <w:t>Module Code:</w:t>
            </w:r>
          </w:p>
        </w:tc>
        <w:tc>
          <w:tcPr>
            <w:tcW w:w="5534" w:type="dxa"/>
            <w:tcBorders>
              <w:top w:val="dotted" w:sz="4" w:space="0" w:color="auto"/>
              <w:left w:val="dotted" w:sz="4" w:space="0" w:color="auto"/>
              <w:bottom w:val="dotted" w:sz="4" w:space="0" w:color="auto"/>
              <w:right w:val="dotted" w:sz="4" w:space="0" w:color="auto"/>
            </w:tcBorders>
            <w:shd w:val="clear" w:color="auto" w:fill="FFFFFF" w:themeFill="background1"/>
          </w:tcPr>
          <w:p w14:paraId="31B49C8C" w14:textId="77777777" w:rsidR="00A01A59" w:rsidRPr="00E42A6D" w:rsidRDefault="003A349C" w:rsidP="00671F90">
            <w:pPr>
              <w:rPr>
                <w:i/>
              </w:rPr>
            </w:pPr>
            <w:r>
              <w:rPr>
                <w:i/>
              </w:rPr>
              <w:t>SOLM</w:t>
            </w:r>
            <w:r w:rsidR="000E3D66">
              <w:rPr>
                <w:i/>
              </w:rPr>
              <w:t>145</w:t>
            </w:r>
          </w:p>
        </w:tc>
      </w:tr>
      <w:tr w:rsidR="00A01A59" w14:paraId="5C02296B" w14:textId="77777777" w:rsidTr="00671F90">
        <w:trPr>
          <w:trHeight w:val="461"/>
        </w:trPr>
        <w:tc>
          <w:tcPr>
            <w:tcW w:w="5098" w:type="dxa"/>
            <w:tcBorders>
              <w:top w:val="dotted" w:sz="4" w:space="0" w:color="auto"/>
              <w:left w:val="dotted" w:sz="4" w:space="0" w:color="auto"/>
              <w:bottom w:val="dotted" w:sz="4" w:space="0" w:color="auto"/>
              <w:right w:val="dotted" w:sz="4" w:space="0" w:color="auto"/>
            </w:tcBorders>
            <w:shd w:val="clear" w:color="auto" w:fill="FFFFFF" w:themeFill="background1"/>
          </w:tcPr>
          <w:p w14:paraId="3B6041AB" w14:textId="77777777" w:rsidR="00A01A59" w:rsidRPr="00B7381E" w:rsidRDefault="00A01A59" w:rsidP="00671F90">
            <w:pPr>
              <w:jc w:val="both"/>
              <w:rPr>
                <w:b/>
              </w:rPr>
            </w:pPr>
            <w:r w:rsidRPr="00B7381E">
              <w:rPr>
                <w:b/>
              </w:rPr>
              <w:t>Module Title</w:t>
            </w:r>
            <w:r>
              <w:rPr>
                <w:b/>
              </w:rPr>
              <w:t>:</w:t>
            </w:r>
          </w:p>
        </w:tc>
        <w:tc>
          <w:tcPr>
            <w:tcW w:w="5534" w:type="dxa"/>
            <w:tcBorders>
              <w:top w:val="dotted" w:sz="4" w:space="0" w:color="auto"/>
              <w:left w:val="dotted" w:sz="4" w:space="0" w:color="auto"/>
              <w:bottom w:val="dotted" w:sz="4" w:space="0" w:color="auto"/>
              <w:right w:val="dotted" w:sz="4" w:space="0" w:color="auto"/>
            </w:tcBorders>
            <w:shd w:val="clear" w:color="auto" w:fill="FFFFFF" w:themeFill="background1"/>
          </w:tcPr>
          <w:p w14:paraId="76C4190E" w14:textId="77777777" w:rsidR="00A01A59" w:rsidRPr="00A01A59" w:rsidRDefault="000E3D66" w:rsidP="00671F90">
            <w:pPr>
              <w:rPr>
                <w:i/>
              </w:rPr>
            </w:pPr>
            <w:r w:rsidRPr="000E3D66">
              <w:rPr>
                <w:i/>
              </w:rPr>
              <w:t>Maritime Arbitration</w:t>
            </w:r>
          </w:p>
        </w:tc>
      </w:tr>
      <w:tr w:rsidR="00A01A59" w14:paraId="7B8C69A5" w14:textId="77777777" w:rsidTr="00671F90">
        <w:trPr>
          <w:trHeight w:val="461"/>
        </w:trPr>
        <w:tc>
          <w:tcPr>
            <w:tcW w:w="5098" w:type="dxa"/>
            <w:tcBorders>
              <w:top w:val="dotted" w:sz="4" w:space="0" w:color="auto"/>
              <w:left w:val="dotted" w:sz="4" w:space="0" w:color="auto"/>
              <w:bottom w:val="dotted" w:sz="4" w:space="0" w:color="auto"/>
              <w:right w:val="dotted" w:sz="4" w:space="0" w:color="auto"/>
            </w:tcBorders>
            <w:shd w:val="clear" w:color="auto" w:fill="FFFFFF" w:themeFill="background1"/>
          </w:tcPr>
          <w:p w14:paraId="59FBC71C" w14:textId="77777777" w:rsidR="00A01A59" w:rsidRPr="00B7381E" w:rsidRDefault="00A01A59" w:rsidP="00671F90">
            <w:pPr>
              <w:jc w:val="both"/>
              <w:rPr>
                <w:b/>
              </w:rPr>
            </w:pPr>
            <w:r>
              <w:rPr>
                <w:b/>
              </w:rPr>
              <w:t>Number of Credits</w:t>
            </w:r>
          </w:p>
        </w:tc>
        <w:tc>
          <w:tcPr>
            <w:tcW w:w="5534" w:type="dxa"/>
            <w:tcBorders>
              <w:top w:val="dotted" w:sz="4" w:space="0" w:color="auto"/>
              <w:left w:val="dotted" w:sz="4" w:space="0" w:color="auto"/>
              <w:bottom w:val="dotted" w:sz="4" w:space="0" w:color="auto"/>
              <w:right w:val="dotted" w:sz="4" w:space="0" w:color="auto"/>
            </w:tcBorders>
            <w:shd w:val="clear" w:color="auto" w:fill="FFFFFF" w:themeFill="background1"/>
          </w:tcPr>
          <w:p w14:paraId="2B1263D3" w14:textId="77777777" w:rsidR="00A01A59" w:rsidRPr="00A01A59" w:rsidRDefault="00E42A6D" w:rsidP="00671F90">
            <w:pPr>
              <w:rPr>
                <w:i/>
              </w:rPr>
            </w:pPr>
            <w:r w:rsidRPr="00A01A59">
              <w:rPr>
                <w:i/>
              </w:rPr>
              <w:t>C</w:t>
            </w:r>
            <w:r w:rsidR="00A01A59" w:rsidRPr="00A01A59">
              <w:rPr>
                <w:i/>
              </w:rPr>
              <w:t>redits</w:t>
            </w:r>
            <w:r>
              <w:rPr>
                <w:i/>
              </w:rPr>
              <w:t xml:space="preserve"> 30</w:t>
            </w:r>
          </w:p>
        </w:tc>
      </w:tr>
      <w:tr w:rsidR="00A01A59" w14:paraId="429F693F" w14:textId="77777777" w:rsidTr="00671F90">
        <w:trPr>
          <w:trHeight w:val="461"/>
        </w:trPr>
        <w:tc>
          <w:tcPr>
            <w:tcW w:w="5098" w:type="dxa"/>
            <w:tcBorders>
              <w:top w:val="dotted" w:sz="4" w:space="0" w:color="auto"/>
              <w:left w:val="dotted" w:sz="4" w:space="0" w:color="auto"/>
              <w:bottom w:val="dotted" w:sz="4" w:space="0" w:color="auto"/>
              <w:right w:val="dotted" w:sz="4" w:space="0" w:color="auto"/>
            </w:tcBorders>
            <w:shd w:val="clear" w:color="auto" w:fill="FFFFFF" w:themeFill="background1"/>
          </w:tcPr>
          <w:p w14:paraId="54BDD088" w14:textId="77777777" w:rsidR="00A01A59" w:rsidRPr="00B7381E" w:rsidRDefault="00A01A59" w:rsidP="00671F90">
            <w:pPr>
              <w:jc w:val="both"/>
              <w:rPr>
                <w:b/>
              </w:rPr>
            </w:pPr>
            <w:r w:rsidRPr="00B7381E">
              <w:rPr>
                <w:b/>
              </w:rPr>
              <w:t>Semester</w:t>
            </w:r>
            <w:r>
              <w:rPr>
                <w:b/>
              </w:rPr>
              <w:t xml:space="preserve"> and Block</w:t>
            </w:r>
            <w:r w:rsidRPr="00B7381E">
              <w:rPr>
                <w:b/>
              </w:rPr>
              <w:t xml:space="preserve"> Taught:</w:t>
            </w:r>
          </w:p>
        </w:tc>
        <w:tc>
          <w:tcPr>
            <w:tcW w:w="5534" w:type="dxa"/>
            <w:tcBorders>
              <w:top w:val="dotted" w:sz="4" w:space="0" w:color="auto"/>
              <w:left w:val="dotted" w:sz="4" w:space="0" w:color="auto"/>
              <w:bottom w:val="dotted" w:sz="4" w:space="0" w:color="auto"/>
              <w:right w:val="dotted" w:sz="4" w:space="0" w:color="auto"/>
            </w:tcBorders>
            <w:shd w:val="clear" w:color="auto" w:fill="FFFFFF" w:themeFill="background1"/>
          </w:tcPr>
          <w:p w14:paraId="10F5D956" w14:textId="3429D327" w:rsidR="00A01A59" w:rsidRPr="00A01A59" w:rsidRDefault="00A01A59" w:rsidP="00671F90">
            <w:pPr>
              <w:rPr>
                <w:i/>
              </w:rPr>
            </w:pPr>
            <w:r w:rsidRPr="00A01A59">
              <w:rPr>
                <w:b/>
                <w:i/>
              </w:rPr>
              <w:t>Semester:</w:t>
            </w:r>
            <w:r w:rsidR="000E3D66">
              <w:rPr>
                <w:i/>
              </w:rPr>
              <w:t xml:space="preserve">  B</w:t>
            </w:r>
            <w:r w:rsidR="00E42A6D">
              <w:rPr>
                <w:i/>
              </w:rPr>
              <w:t>2</w:t>
            </w:r>
            <w:r w:rsidR="00A249E9">
              <w:rPr>
                <w:i/>
              </w:rPr>
              <w:t>4</w:t>
            </w:r>
            <w:r w:rsidRPr="00A01A59">
              <w:rPr>
                <w:i/>
              </w:rPr>
              <w:t xml:space="preserve">                         </w:t>
            </w:r>
            <w:r w:rsidRPr="00A01A59">
              <w:rPr>
                <w:b/>
                <w:i/>
              </w:rPr>
              <w:t xml:space="preserve">Block: </w:t>
            </w:r>
            <w:r w:rsidR="000E3D66">
              <w:rPr>
                <w:i/>
              </w:rPr>
              <w:t>C</w:t>
            </w:r>
            <w:r w:rsidR="00E42A6D">
              <w:rPr>
                <w:i/>
              </w:rPr>
              <w:t xml:space="preserve"> </w:t>
            </w:r>
            <w:r w:rsidR="003A349C" w:rsidRPr="00E42A6D">
              <w:rPr>
                <w:i/>
              </w:rPr>
              <w:t>and</w:t>
            </w:r>
            <w:r w:rsidR="000E3D66">
              <w:rPr>
                <w:i/>
              </w:rPr>
              <w:t xml:space="preserve"> D</w:t>
            </w:r>
          </w:p>
        </w:tc>
      </w:tr>
      <w:tr w:rsidR="00A01A59" w14:paraId="37EF2E70" w14:textId="77777777" w:rsidTr="00671F90">
        <w:trPr>
          <w:trHeight w:val="1282"/>
        </w:trPr>
        <w:tc>
          <w:tcPr>
            <w:tcW w:w="5098" w:type="dxa"/>
            <w:tcBorders>
              <w:top w:val="dotted" w:sz="4" w:space="0" w:color="auto"/>
              <w:left w:val="dotted" w:sz="4" w:space="0" w:color="auto"/>
              <w:bottom w:val="dotted" w:sz="4" w:space="0" w:color="auto"/>
              <w:right w:val="dotted" w:sz="4" w:space="0" w:color="auto"/>
            </w:tcBorders>
            <w:shd w:val="clear" w:color="auto" w:fill="FFFFFF" w:themeFill="background1"/>
          </w:tcPr>
          <w:p w14:paraId="789567C8" w14:textId="77777777" w:rsidR="00A01A59" w:rsidRPr="00B7381E" w:rsidRDefault="00A01A59" w:rsidP="00671F90">
            <w:pPr>
              <w:jc w:val="both"/>
              <w:rPr>
                <w:b/>
              </w:rPr>
            </w:pPr>
            <w:r w:rsidRPr="00B7381E">
              <w:rPr>
                <w:b/>
              </w:rPr>
              <w:t>Module Convenor:</w:t>
            </w:r>
          </w:p>
        </w:tc>
        <w:tc>
          <w:tcPr>
            <w:tcW w:w="5534" w:type="dxa"/>
            <w:tcBorders>
              <w:top w:val="dotted" w:sz="4" w:space="0" w:color="auto"/>
              <w:left w:val="dotted" w:sz="4" w:space="0" w:color="auto"/>
              <w:bottom w:val="dotted" w:sz="4" w:space="0" w:color="auto"/>
              <w:right w:val="dotted" w:sz="4" w:space="0" w:color="auto"/>
            </w:tcBorders>
            <w:shd w:val="clear" w:color="auto" w:fill="FFFFFF" w:themeFill="background1"/>
          </w:tcPr>
          <w:p w14:paraId="16BB51F4" w14:textId="77777777" w:rsidR="00671F90" w:rsidRPr="00A01A59" w:rsidRDefault="00671F90" w:rsidP="00671F90">
            <w:pPr>
              <w:rPr>
                <w:i/>
              </w:rPr>
            </w:pPr>
            <w:r w:rsidRPr="00A01A59">
              <w:rPr>
                <w:i/>
              </w:rPr>
              <w:t xml:space="preserve">NAME: </w:t>
            </w:r>
            <w:r>
              <w:rPr>
                <w:i/>
              </w:rPr>
              <w:t>Miriam Goldby</w:t>
            </w:r>
          </w:p>
          <w:p w14:paraId="2B43BF81" w14:textId="77777777" w:rsidR="00671F90" w:rsidRPr="00A01A59" w:rsidRDefault="00671F90" w:rsidP="00671F90">
            <w:pPr>
              <w:rPr>
                <w:i/>
              </w:rPr>
            </w:pPr>
            <w:r w:rsidRPr="00A01A59">
              <w:rPr>
                <w:i/>
              </w:rPr>
              <w:t xml:space="preserve">EMAIL ADDRESS: </w:t>
            </w:r>
            <w:r>
              <w:t xml:space="preserve"> </w:t>
            </w:r>
            <w:hyperlink r:id="rId7" w:history="1">
              <w:r w:rsidRPr="00E42A6D">
                <w:rPr>
                  <w:i/>
                </w:rPr>
                <w:t>m.goldby@qmul.ac.uk</w:t>
              </w:r>
            </w:hyperlink>
          </w:p>
          <w:p w14:paraId="611684BD" w14:textId="77777777" w:rsidR="00671F90" w:rsidRPr="00671F90" w:rsidRDefault="00671F90" w:rsidP="00671F90">
            <w:pPr>
              <w:rPr>
                <w:i/>
              </w:rPr>
            </w:pPr>
            <w:r>
              <w:rPr>
                <w:i/>
              </w:rPr>
              <w:t xml:space="preserve">I do not keep regular office hours. </w:t>
            </w:r>
            <w:r w:rsidRPr="00C05357">
              <w:rPr>
                <w:i/>
              </w:rPr>
              <w:t>Please email me for an appointment – we can meet online or at LIF before class.</w:t>
            </w:r>
          </w:p>
        </w:tc>
      </w:tr>
      <w:tr w:rsidR="00A01A59" w14:paraId="6E2F23E3" w14:textId="77777777" w:rsidTr="00671F90">
        <w:trPr>
          <w:trHeight w:val="461"/>
        </w:trPr>
        <w:tc>
          <w:tcPr>
            <w:tcW w:w="5098" w:type="dxa"/>
            <w:tcBorders>
              <w:top w:val="dotted" w:sz="4" w:space="0" w:color="auto"/>
              <w:left w:val="dotted" w:sz="4" w:space="0" w:color="auto"/>
              <w:bottom w:val="dotted" w:sz="4" w:space="0" w:color="auto"/>
              <w:right w:val="dotted" w:sz="4" w:space="0" w:color="auto"/>
            </w:tcBorders>
            <w:shd w:val="clear" w:color="auto" w:fill="FFFFFF" w:themeFill="background1"/>
          </w:tcPr>
          <w:p w14:paraId="6DD5481D" w14:textId="77777777" w:rsidR="00A01A59" w:rsidRPr="00B7381E" w:rsidRDefault="00A01A59" w:rsidP="00671F90">
            <w:pPr>
              <w:jc w:val="both"/>
              <w:rPr>
                <w:b/>
              </w:rPr>
            </w:pPr>
            <w:r w:rsidRPr="00B7381E">
              <w:rPr>
                <w:b/>
              </w:rPr>
              <w:t>Assessment:</w:t>
            </w:r>
          </w:p>
        </w:tc>
        <w:tc>
          <w:tcPr>
            <w:tcW w:w="5534" w:type="dxa"/>
            <w:tcBorders>
              <w:top w:val="dotted" w:sz="4" w:space="0" w:color="auto"/>
              <w:left w:val="dotted" w:sz="4" w:space="0" w:color="auto"/>
              <w:bottom w:val="dotted" w:sz="4" w:space="0" w:color="auto"/>
              <w:right w:val="dotted" w:sz="4" w:space="0" w:color="auto"/>
            </w:tcBorders>
            <w:shd w:val="clear" w:color="auto" w:fill="FFFFFF" w:themeFill="background1"/>
          </w:tcPr>
          <w:p w14:paraId="2A3C810A" w14:textId="3FFFFF06" w:rsidR="00E42A6D" w:rsidRPr="000E3D66" w:rsidRDefault="00784BCA" w:rsidP="00671F90">
            <w:pPr>
              <w:jc w:val="both"/>
              <w:rPr>
                <w:rFonts w:asciiTheme="minorHAnsi" w:hAnsiTheme="minorHAnsi" w:cstheme="minorHAnsi"/>
                <w:b/>
                <w:bCs/>
                <w:sz w:val="16"/>
                <w:szCs w:val="16"/>
              </w:rPr>
            </w:pPr>
            <w:r>
              <w:rPr>
                <w:rFonts w:asciiTheme="minorHAnsi" w:hAnsiTheme="minorHAnsi" w:cstheme="minorHAnsi"/>
                <w:b/>
                <w:bCs/>
                <w:color w:val="000000"/>
              </w:rPr>
              <w:t>Exam (on campus)</w:t>
            </w:r>
          </w:p>
        </w:tc>
      </w:tr>
      <w:tr w:rsidR="00DE21D9" w14:paraId="3F7AE16B" w14:textId="77777777" w:rsidTr="00671F90">
        <w:trPr>
          <w:trHeight w:val="461"/>
        </w:trPr>
        <w:tc>
          <w:tcPr>
            <w:tcW w:w="5098" w:type="dxa"/>
            <w:tcBorders>
              <w:top w:val="dotted" w:sz="4" w:space="0" w:color="auto"/>
              <w:left w:val="dotted" w:sz="4" w:space="0" w:color="auto"/>
              <w:bottom w:val="dotted" w:sz="4" w:space="0" w:color="auto"/>
              <w:right w:val="dotted" w:sz="4" w:space="0" w:color="auto"/>
            </w:tcBorders>
            <w:shd w:val="clear" w:color="auto" w:fill="FFFFFF" w:themeFill="background1"/>
          </w:tcPr>
          <w:p w14:paraId="2180B1B4" w14:textId="77777777" w:rsidR="00DE21D9" w:rsidRDefault="00DE21D9" w:rsidP="00671F90">
            <w:pPr>
              <w:jc w:val="both"/>
              <w:rPr>
                <w:b/>
              </w:rPr>
            </w:pPr>
            <w:r>
              <w:rPr>
                <w:b/>
              </w:rPr>
              <w:t>Time and venue of class:</w:t>
            </w:r>
          </w:p>
        </w:tc>
        <w:tc>
          <w:tcPr>
            <w:tcW w:w="5534" w:type="dxa"/>
            <w:tcBorders>
              <w:top w:val="dotted" w:sz="4" w:space="0" w:color="auto"/>
              <w:left w:val="dotted" w:sz="4" w:space="0" w:color="auto"/>
              <w:bottom w:val="dotted" w:sz="4" w:space="0" w:color="auto"/>
              <w:right w:val="dotted" w:sz="4" w:space="0" w:color="auto"/>
            </w:tcBorders>
            <w:shd w:val="clear" w:color="auto" w:fill="FFFFFF" w:themeFill="background1"/>
          </w:tcPr>
          <w:p w14:paraId="3520B58F" w14:textId="77777777" w:rsidR="00DE21D9" w:rsidRPr="00E0051E" w:rsidRDefault="00FD3BE8" w:rsidP="00671F90">
            <w:pPr>
              <w:pStyle w:val="NoSpacing"/>
              <w:rPr>
                <w:rFonts w:cs="Calibri"/>
                <w:iCs/>
                <w:szCs w:val="22"/>
              </w:rPr>
            </w:pPr>
            <w:r w:rsidRPr="00E0051E">
              <w:rPr>
                <w:rFonts w:cs="Calibri"/>
                <w:iCs/>
                <w:szCs w:val="22"/>
              </w:rPr>
              <w:t>Thursdays at 09.00-12.00</w:t>
            </w:r>
            <w:r w:rsidR="00A32408" w:rsidRPr="00E0051E">
              <w:rPr>
                <w:rFonts w:cs="Calibri"/>
                <w:iCs/>
                <w:szCs w:val="22"/>
              </w:rPr>
              <w:t xml:space="preserve"> in LIF LG1</w:t>
            </w:r>
          </w:p>
          <w:p w14:paraId="612E1224" w14:textId="42E1EDD0" w:rsidR="00E0051E" w:rsidRPr="00E0051E" w:rsidRDefault="00E0051E" w:rsidP="00671F90">
            <w:pPr>
              <w:pStyle w:val="NoSpacing"/>
              <w:rPr>
                <w:rFonts w:cs="Calibri"/>
                <w:i/>
                <w:szCs w:val="22"/>
              </w:rPr>
            </w:pPr>
            <w:r w:rsidRPr="00E0051E">
              <w:rPr>
                <w:rFonts w:cs="Calibri"/>
                <w:i/>
                <w:iCs/>
                <w:szCs w:val="22"/>
              </w:rPr>
              <w:t>Please check timetable for any changes.</w:t>
            </w:r>
          </w:p>
        </w:tc>
      </w:tr>
      <w:tr w:rsidR="00A01A59" w14:paraId="6ADF5307" w14:textId="77777777" w:rsidTr="00671F90">
        <w:trPr>
          <w:trHeight w:val="1292"/>
        </w:trPr>
        <w:tc>
          <w:tcPr>
            <w:tcW w:w="5098" w:type="dxa"/>
            <w:tcBorders>
              <w:top w:val="dotted" w:sz="4" w:space="0" w:color="auto"/>
              <w:left w:val="dotted" w:sz="4" w:space="0" w:color="auto"/>
              <w:bottom w:val="dotted" w:sz="4" w:space="0" w:color="auto"/>
              <w:right w:val="dotted" w:sz="4" w:space="0" w:color="auto"/>
            </w:tcBorders>
            <w:shd w:val="clear" w:color="auto" w:fill="FFFFFF" w:themeFill="background1"/>
          </w:tcPr>
          <w:p w14:paraId="02EE00F9" w14:textId="77777777" w:rsidR="00A01A59" w:rsidRDefault="00A01A59" w:rsidP="00671F90">
            <w:pPr>
              <w:jc w:val="both"/>
              <w:rPr>
                <w:b/>
              </w:rPr>
            </w:pPr>
            <w:r>
              <w:rPr>
                <w:b/>
              </w:rPr>
              <w:t>Additional Module Information:</w:t>
            </w:r>
          </w:p>
        </w:tc>
        <w:tc>
          <w:tcPr>
            <w:tcW w:w="5534" w:type="dxa"/>
            <w:tcBorders>
              <w:top w:val="dotted" w:sz="4" w:space="0" w:color="auto"/>
              <w:left w:val="dotted" w:sz="4" w:space="0" w:color="auto"/>
              <w:bottom w:val="dotted" w:sz="4" w:space="0" w:color="auto"/>
              <w:right w:val="dotted" w:sz="4" w:space="0" w:color="auto"/>
            </w:tcBorders>
            <w:shd w:val="clear" w:color="auto" w:fill="FFFFFF" w:themeFill="background1"/>
          </w:tcPr>
          <w:p w14:paraId="7FA809C6" w14:textId="77777777" w:rsidR="00671F90" w:rsidRPr="00A804C4" w:rsidRDefault="00671F90" w:rsidP="00D5055C">
            <w:pPr>
              <w:spacing w:after="0"/>
              <w:jc w:val="both"/>
              <w:rPr>
                <w:rFonts w:cs="Calibri"/>
                <w:szCs w:val="22"/>
              </w:rPr>
            </w:pPr>
            <w:r>
              <w:rPr>
                <w:rFonts w:cs="Calibri"/>
                <w:szCs w:val="22"/>
              </w:rPr>
              <w:t xml:space="preserve">If you intend to take this module, it is highly recommended that you take also </w:t>
            </w:r>
            <w:r w:rsidR="00D5055C">
              <w:rPr>
                <w:rFonts w:cs="Calibri"/>
                <w:szCs w:val="22"/>
              </w:rPr>
              <w:t xml:space="preserve">at least </w:t>
            </w:r>
            <w:r>
              <w:rPr>
                <w:rFonts w:cs="Calibri"/>
                <w:szCs w:val="22"/>
              </w:rPr>
              <w:t>one of the following modules</w:t>
            </w:r>
            <w:r w:rsidR="00D5055C">
              <w:rPr>
                <w:rFonts w:cs="Calibri"/>
                <w:szCs w:val="22"/>
              </w:rPr>
              <w:t xml:space="preserve"> </w:t>
            </w:r>
            <w:proofErr w:type="gramStart"/>
            <w:r w:rsidR="00D5055C">
              <w:rPr>
                <w:rFonts w:cs="Calibri"/>
                <w:szCs w:val="22"/>
              </w:rPr>
              <w:t>so as to</w:t>
            </w:r>
            <w:proofErr w:type="gramEnd"/>
            <w:r w:rsidR="00D5055C">
              <w:rPr>
                <w:rFonts w:cs="Calibri"/>
                <w:szCs w:val="22"/>
              </w:rPr>
              <w:t xml:space="preserve"> familiarise with commonly arising issues in maritime disputes</w:t>
            </w:r>
            <w:r>
              <w:rPr>
                <w:rFonts w:cs="Calibri"/>
                <w:szCs w:val="22"/>
              </w:rPr>
              <w:t xml:space="preserve">: </w:t>
            </w:r>
          </w:p>
          <w:p w14:paraId="6C8BEF69" w14:textId="77777777" w:rsidR="00671F90" w:rsidRDefault="00671F90" w:rsidP="00D5055C">
            <w:pPr>
              <w:spacing w:after="0"/>
              <w:jc w:val="both"/>
              <w:rPr>
                <w:rFonts w:cs="Calibri"/>
                <w:szCs w:val="22"/>
              </w:rPr>
            </w:pPr>
            <w:r w:rsidRPr="00A804C4">
              <w:rPr>
                <w:rFonts w:cs="Calibri"/>
                <w:szCs w:val="22"/>
              </w:rPr>
              <w:t>SOLM14</w:t>
            </w:r>
            <w:r>
              <w:rPr>
                <w:rFonts w:cs="Calibri"/>
                <w:szCs w:val="22"/>
              </w:rPr>
              <w:t>2</w:t>
            </w:r>
            <w:r w:rsidRPr="00A804C4">
              <w:rPr>
                <w:rFonts w:cs="Calibri"/>
                <w:szCs w:val="22"/>
              </w:rPr>
              <w:t xml:space="preserve"> </w:t>
            </w:r>
            <w:r>
              <w:rPr>
                <w:rFonts w:cs="Calibri"/>
                <w:szCs w:val="22"/>
              </w:rPr>
              <w:t>Charterparties: Law and Practice</w:t>
            </w:r>
          </w:p>
          <w:p w14:paraId="4F6C7113" w14:textId="77777777" w:rsidR="00671F90" w:rsidRDefault="00671F90" w:rsidP="00D5055C">
            <w:pPr>
              <w:spacing w:after="0"/>
              <w:jc w:val="both"/>
              <w:rPr>
                <w:rFonts w:cs="Calibri"/>
                <w:szCs w:val="22"/>
              </w:rPr>
            </w:pPr>
            <w:r w:rsidRPr="00A804C4">
              <w:rPr>
                <w:rFonts w:cs="Calibri"/>
                <w:szCs w:val="22"/>
              </w:rPr>
              <w:t>SOLM143 Carriage of Goods</w:t>
            </w:r>
          </w:p>
          <w:p w14:paraId="22BA947D" w14:textId="77777777" w:rsidR="00D5055C" w:rsidRPr="00671F90" w:rsidRDefault="00D5055C" w:rsidP="0012553D">
            <w:pPr>
              <w:spacing w:after="0"/>
              <w:jc w:val="both"/>
              <w:rPr>
                <w:rFonts w:cs="Calibri"/>
                <w:szCs w:val="22"/>
              </w:rPr>
            </w:pPr>
          </w:p>
        </w:tc>
      </w:tr>
    </w:tbl>
    <w:p w14:paraId="148128A9" w14:textId="77777777" w:rsidR="00A01A59" w:rsidRDefault="00A01A59" w:rsidP="00A01A59"/>
    <w:p w14:paraId="3A018B46" w14:textId="77777777" w:rsidR="003A349C" w:rsidRPr="00B7381E" w:rsidRDefault="003A349C" w:rsidP="00A01A59"/>
    <w:tbl>
      <w:tblPr>
        <w:tblpPr w:leftFromText="180" w:rightFromText="180" w:vertAnchor="text" w:horzAnchor="margin" w:tblpXSpec="center" w:tblpY="-27"/>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8"/>
      </w:tblGrid>
      <w:tr w:rsidR="00A01A59" w14:paraId="4DB58236" w14:textId="77777777" w:rsidTr="00106235">
        <w:trPr>
          <w:trHeight w:val="170"/>
        </w:trPr>
        <w:tc>
          <w:tcPr>
            <w:tcW w:w="10748" w:type="dxa"/>
            <w:tcBorders>
              <w:top w:val="nil"/>
              <w:left w:val="nil"/>
              <w:bottom w:val="nil"/>
              <w:right w:val="nil"/>
            </w:tcBorders>
            <w:shd w:val="clear" w:color="auto" w:fill="D3E5F9"/>
            <w:vAlign w:val="center"/>
          </w:tcPr>
          <w:p w14:paraId="6848D8E4" w14:textId="77777777" w:rsidR="00A01A59" w:rsidRPr="00BB03C8" w:rsidRDefault="00A01A59" w:rsidP="00106235">
            <w:pPr>
              <w:jc w:val="center"/>
              <w:rPr>
                <w:b/>
              </w:rPr>
            </w:pPr>
            <w:r w:rsidRPr="00BB03C8">
              <w:rPr>
                <w:b/>
                <w:sz w:val="24"/>
              </w:rPr>
              <w:t>Teaching Team and Contact Details</w:t>
            </w:r>
          </w:p>
        </w:tc>
      </w:tr>
    </w:tbl>
    <w:tbl>
      <w:tblPr>
        <w:tblStyle w:val="TableGrid"/>
        <w:tblpPr w:leftFromText="180" w:rightFromText="180" w:vertAnchor="text" w:horzAnchor="margin" w:tblpXSpec="center" w:tblpY="502"/>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302"/>
        <w:gridCol w:w="5330"/>
      </w:tblGrid>
      <w:tr w:rsidR="005813B1" w:rsidRPr="00C05357" w14:paraId="7406249B" w14:textId="77777777" w:rsidTr="00000776">
        <w:trPr>
          <w:trHeight w:val="564"/>
        </w:trPr>
        <w:tc>
          <w:tcPr>
            <w:tcW w:w="5302" w:type="dxa"/>
            <w:tcBorders>
              <w:top w:val="dotted" w:sz="4" w:space="0" w:color="auto"/>
              <w:left w:val="dotted" w:sz="4" w:space="0" w:color="auto"/>
              <w:bottom w:val="dotted" w:sz="4" w:space="0" w:color="auto"/>
              <w:right w:val="dotted" w:sz="4" w:space="0" w:color="auto"/>
            </w:tcBorders>
            <w:shd w:val="clear" w:color="auto" w:fill="FFFFFF" w:themeFill="background1"/>
          </w:tcPr>
          <w:p w14:paraId="47513439" w14:textId="51030E79" w:rsidR="005813B1" w:rsidRPr="00C05357" w:rsidRDefault="0012553D" w:rsidP="00000776">
            <w:r>
              <w:t>Prof.</w:t>
            </w:r>
            <w:r w:rsidR="005813B1" w:rsidRPr="00C05357">
              <w:t xml:space="preserve"> Miriam Goldby</w:t>
            </w:r>
          </w:p>
        </w:tc>
        <w:tc>
          <w:tcPr>
            <w:tcW w:w="5330" w:type="dxa"/>
            <w:tcBorders>
              <w:top w:val="dotted" w:sz="4" w:space="0" w:color="auto"/>
              <w:left w:val="dotted" w:sz="4" w:space="0" w:color="auto"/>
              <w:bottom w:val="dotted" w:sz="4" w:space="0" w:color="auto"/>
              <w:right w:val="dotted" w:sz="4" w:space="0" w:color="auto"/>
            </w:tcBorders>
            <w:shd w:val="clear" w:color="auto" w:fill="FFFFFF" w:themeFill="background1"/>
          </w:tcPr>
          <w:p w14:paraId="114D4A0C" w14:textId="77777777" w:rsidR="005813B1" w:rsidRPr="00C05357" w:rsidRDefault="005813B1" w:rsidP="00EE56B3">
            <w:pPr>
              <w:spacing w:after="0"/>
            </w:pPr>
            <w:hyperlink r:id="rId8" w:history="1">
              <w:r w:rsidRPr="00102FF4">
                <w:rPr>
                  <w:rStyle w:val="Hyperlink"/>
                </w:rPr>
                <w:t>m.goldby@qmul.ac.uk</w:t>
              </w:r>
            </w:hyperlink>
            <w:r>
              <w:t xml:space="preserve"> </w:t>
            </w:r>
          </w:p>
          <w:p w14:paraId="5D1E71F1" w14:textId="386C5D06" w:rsidR="005813B1" w:rsidRPr="00C05357" w:rsidRDefault="005813B1" w:rsidP="00EE56B3">
            <w:pPr>
              <w:spacing w:after="0"/>
            </w:pPr>
            <w:r w:rsidRPr="00C05357">
              <w:t xml:space="preserve">020 7882 7170 </w:t>
            </w:r>
          </w:p>
        </w:tc>
      </w:tr>
      <w:tr w:rsidR="0012553D" w:rsidRPr="00C05357" w14:paraId="453B16C7" w14:textId="77777777" w:rsidTr="00000776">
        <w:trPr>
          <w:trHeight w:val="564"/>
        </w:trPr>
        <w:tc>
          <w:tcPr>
            <w:tcW w:w="5302" w:type="dxa"/>
            <w:tcBorders>
              <w:top w:val="dotted" w:sz="4" w:space="0" w:color="auto"/>
              <w:left w:val="dotted" w:sz="4" w:space="0" w:color="auto"/>
              <w:bottom w:val="dotted" w:sz="4" w:space="0" w:color="auto"/>
              <w:right w:val="dotted" w:sz="4" w:space="0" w:color="auto"/>
            </w:tcBorders>
            <w:shd w:val="clear" w:color="auto" w:fill="FFFFFF" w:themeFill="background1"/>
          </w:tcPr>
          <w:p w14:paraId="712AD24F" w14:textId="149D7001" w:rsidR="0012553D" w:rsidRDefault="0012553D" w:rsidP="00000776">
            <w:r>
              <w:t>Prof. Sir Bernard Rix</w:t>
            </w:r>
          </w:p>
        </w:tc>
        <w:tc>
          <w:tcPr>
            <w:tcW w:w="5330" w:type="dxa"/>
            <w:tcBorders>
              <w:top w:val="dotted" w:sz="4" w:space="0" w:color="auto"/>
              <w:left w:val="dotted" w:sz="4" w:space="0" w:color="auto"/>
              <w:bottom w:val="dotted" w:sz="4" w:space="0" w:color="auto"/>
              <w:right w:val="dotted" w:sz="4" w:space="0" w:color="auto"/>
            </w:tcBorders>
            <w:shd w:val="clear" w:color="auto" w:fill="FFFFFF" w:themeFill="background1"/>
          </w:tcPr>
          <w:p w14:paraId="7C9C936E" w14:textId="5B7BF779" w:rsidR="0012553D" w:rsidRDefault="00BE7EE1" w:rsidP="00EE56B3">
            <w:pPr>
              <w:spacing w:after="0"/>
            </w:pPr>
            <w:hyperlink r:id="rId9" w:history="1">
              <w:r w:rsidRPr="00962E91">
                <w:rPr>
                  <w:rStyle w:val="Hyperlink"/>
                </w:rPr>
                <w:t>bernard.rix@twentyessex.com</w:t>
              </w:r>
            </w:hyperlink>
          </w:p>
          <w:p w14:paraId="12D30A34" w14:textId="1C634210" w:rsidR="00BE7EE1" w:rsidRDefault="00BE7EE1" w:rsidP="00EE56B3">
            <w:pPr>
              <w:spacing w:after="0"/>
            </w:pPr>
          </w:p>
        </w:tc>
      </w:tr>
    </w:tbl>
    <w:p w14:paraId="2AB74A64" w14:textId="77777777" w:rsidR="00A01A59" w:rsidRDefault="00A01A59" w:rsidP="00A01A59"/>
    <w:p w14:paraId="5EB24209" w14:textId="77777777" w:rsidR="0012553D" w:rsidRDefault="0012553D" w:rsidP="00A01A59"/>
    <w:tbl>
      <w:tblPr>
        <w:tblpPr w:leftFromText="180" w:rightFromText="180" w:vertAnchor="text" w:horzAnchor="margin" w:tblpXSpec="center" w:tblpY="-27"/>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8"/>
      </w:tblGrid>
      <w:tr w:rsidR="00A01A59" w14:paraId="265428BF" w14:textId="77777777" w:rsidTr="00106235">
        <w:trPr>
          <w:trHeight w:val="170"/>
        </w:trPr>
        <w:tc>
          <w:tcPr>
            <w:tcW w:w="10748" w:type="dxa"/>
            <w:tcBorders>
              <w:top w:val="nil"/>
              <w:left w:val="nil"/>
              <w:bottom w:val="nil"/>
              <w:right w:val="nil"/>
            </w:tcBorders>
            <w:shd w:val="clear" w:color="auto" w:fill="D3E5F9"/>
            <w:vAlign w:val="center"/>
          </w:tcPr>
          <w:p w14:paraId="54ADB060" w14:textId="77777777" w:rsidR="00A01A59" w:rsidRPr="00BB03C8" w:rsidRDefault="00A01A59" w:rsidP="00106235">
            <w:pPr>
              <w:jc w:val="center"/>
              <w:rPr>
                <w:b/>
              </w:rPr>
            </w:pPr>
            <w:r>
              <w:rPr>
                <w:b/>
                <w:sz w:val="24"/>
              </w:rPr>
              <w:t>Module Overview</w:t>
            </w:r>
          </w:p>
        </w:tc>
      </w:tr>
    </w:tbl>
    <w:tbl>
      <w:tblPr>
        <w:tblStyle w:val="TableGrid"/>
        <w:tblpPr w:leftFromText="180" w:rightFromText="180" w:vertAnchor="text" w:horzAnchor="margin" w:tblpXSpec="center" w:tblpY="492"/>
        <w:tblW w:w="1069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699"/>
      </w:tblGrid>
      <w:tr w:rsidR="00A01A59" w14:paraId="18C9786E" w14:textId="77777777" w:rsidTr="000A1A8F">
        <w:trPr>
          <w:trHeight w:val="3955"/>
        </w:trPr>
        <w:tc>
          <w:tcPr>
            <w:tcW w:w="10699" w:type="dxa"/>
            <w:tcBorders>
              <w:top w:val="dotted" w:sz="4" w:space="0" w:color="auto"/>
              <w:left w:val="dotted" w:sz="4" w:space="0" w:color="auto"/>
              <w:bottom w:val="dotted" w:sz="4" w:space="0" w:color="auto"/>
              <w:right w:val="dotted" w:sz="4" w:space="0" w:color="auto"/>
            </w:tcBorders>
            <w:shd w:val="clear" w:color="auto" w:fill="FFFFFF" w:themeFill="background1"/>
          </w:tcPr>
          <w:p w14:paraId="05ABE103" w14:textId="7CE2C0BD" w:rsidR="000E3D66" w:rsidRDefault="000E3D66" w:rsidP="00EE56B3">
            <w:pPr>
              <w:spacing w:after="0"/>
              <w:jc w:val="both"/>
              <w:rPr>
                <w:rFonts w:asciiTheme="minorHAnsi" w:hAnsiTheme="minorHAnsi"/>
                <w:bCs/>
              </w:rPr>
            </w:pPr>
            <w:r w:rsidRPr="00D6424E">
              <w:rPr>
                <w:rFonts w:asciiTheme="minorHAnsi" w:hAnsiTheme="minorHAnsi"/>
                <w:bCs/>
              </w:rPr>
              <w:t xml:space="preserve">Specialist dispute resolution mechanisms catering to specific industry needs are popular in international commerce, and arbitration has emerged as the dominant industry choice for resolving shipping disputes, </w:t>
            </w:r>
            <w:proofErr w:type="gramStart"/>
            <w:r w:rsidRPr="00D6424E">
              <w:rPr>
                <w:rFonts w:asciiTheme="minorHAnsi" w:hAnsiTheme="minorHAnsi"/>
                <w:bCs/>
              </w:rPr>
              <w:t>in particular</w:t>
            </w:r>
            <w:proofErr w:type="gramEnd"/>
            <w:r w:rsidRPr="00D6424E">
              <w:rPr>
                <w:rFonts w:asciiTheme="minorHAnsi" w:hAnsiTheme="minorHAnsi"/>
                <w:bCs/>
              </w:rPr>
              <w:t xml:space="preserve"> charterparty disputes.</w:t>
            </w:r>
            <w:r w:rsidRPr="00D6424E">
              <w:rPr>
                <w:rFonts w:asciiTheme="minorHAnsi" w:hAnsiTheme="minorHAnsi"/>
                <w:b/>
                <w:bCs/>
              </w:rPr>
              <w:t xml:space="preserve"> </w:t>
            </w:r>
            <w:proofErr w:type="gramStart"/>
            <w:r w:rsidRPr="00D6424E">
              <w:rPr>
                <w:rFonts w:asciiTheme="minorHAnsi" w:hAnsiTheme="minorHAnsi"/>
                <w:bCs/>
              </w:rPr>
              <w:t>Indeed</w:t>
            </w:r>
            <w:proofErr w:type="gramEnd"/>
            <w:r w:rsidRPr="00D6424E">
              <w:rPr>
                <w:rFonts w:asciiTheme="minorHAnsi" w:hAnsiTheme="minorHAnsi"/>
                <w:bCs/>
              </w:rPr>
              <w:t xml:space="preserve"> important maritime arbitration centres have long been established in London and New York, and more recently others have started to emerge in countries such </w:t>
            </w:r>
            <w:r w:rsidR="0020124A">
              <w:rPr>
                <w:rFonts w:asciiTheme="minorHAnsi" w:hAnsiTheme="minorHAnsi"/>
                <w:bCs/>
              </w:rPr>
              <w:t xml:space="preserve">as </w:t>
            </w:r>
            <w:r w:rsidRPr="00D6424E">
              <w:rPr>
                <w:rFonts w:asciiTheme="minorHAnsi" w:hAnsiTheme="minorHAnsi"/>
                <w:bCs/>
              </w:rPr>
              <w:t xml:space="preserve">Singapore. London remains a leader in this field with </w:t>
            </w:r>
            <w:proofErr w:type="gramStart"/>
            <w:r w:rsidRPr="00D6424E">
              <w:rPr>
                <w:rFonts w:asciiTheme="minorHAnsi" w:hAnsiTheme="minorHAnsi"/>
                <w:bCs/>
              </w:rPr>
              <w:t>a large number of</w:t>
            </w:r>
            <w:proofErr w:type="gramEnd"/>
            <w:r w:rsidRPr="00D6424E">
              <w:rPr>
                <w:rFonts w:asciiTheme="minorHAnsi" w:hAnsiTheme="minorHAnsi"/>
                <w:bCs/>
              </w:rPr>
              <w:t xml:space="preserve"> disputes being decided each year through arbitration in accordance with the </w:t>
            </w:r>
            <w:r w:rsidR="000A1A8F">
              <w:rPr>
                <w:rFonts w:asciiTheme="minorHAnsi" w:hAnsiTheme="minorHAnsi"/>
                <w:bCs/>
              </w:rPr>
              <w:t>T</w:t>
            </w:r>
            <w:r w:rsidRPr="00D6424E">
              <w:rPr>
                <w:rFonts w:asciiTheme="minorHAnsi" w:hAnsiTheme="minorHAnsi"/>
                <w:bCs/>
              </w:rPr>
              <w:t>erms of the London Maritime Arbitrators Association. The module will tackle questions such as: What is special about maritime arbitration and what distinguishes it from general commercial arbitration? What are the features of maritime arbitration that make it particularly popular?  Is arbitration by its nature more suited to the resolution of disputes arising in connection with certain types of shipping contracts (e.g. charterparties) rather than others (e.g. contracts of carriage contained in bills of lading)? Why? What are the implications of widespread use of arbitration for the continued development of shipping law?</w:t>
            </w:r>
          </w:p>
          <w:p w14:paraId="769F69CB" w14:textId="77777777" w:rsidR="00EE56B3" w:rsidRPr="000A1A8F" w:rsidRDefault="00EE56B3" w:rsidP="00EE56B3">
            <w:pPr>
              <w:spacing w:after="0"/>
              <w:jc w:val="both"/>
              <w:rPr>
                <w:rFonts w:asciiTheme="minorHAnsi" w:hAnsiTheme="minorHAnsi"/>
                <w:bCs/>
              </w:rPr>
            </w:pPr>
          </w:p>
          <w:p w14:paraId="4F6A2814" w14:textId="77777777" w:rsidR="00A01A59" w:rsidRDefault="000E3D66" w:rsidP="00EE56B3">
            <w:pPr>
              <w:spacing w:after="0"/>
              <w:jc w:val="both"/>
              <w:rPr>
                <w:rFonts w:asciiTheme="minorHAnsi" w:hAnsiTheme="minorHAnsi"/>
                <w:bCs/>
              </w:rPr>
            </w:pPr>
            <w:r w:rsidRPr="00D6424E">
              <w:rPr>
                <w:rFonts w:asciiTheme="minorHAnsi" w:hAnsiTheme="minorHAnsi"/>
                <w:bCs/>
              </w:rPr>
              <w:t>The module will aim at establishing a sound understanding of maritime arbitration as a method of dispute resolution as well as the theoretical and practical implications of its widespread use. It will also provide students with the skills and knowledge necessary to go further into depth in their independent exploration of the subject matter.</w:t>
            </w:r>
          </w:p>
          <w:p w14:paraId="2DE3D75B" w14:textId="2A81C4DD" w:rsidR="00EE56B3" w:rsidRPr="000A1A8F" w:rsidRDefault="00EE56B3" w:rsidP="000A1A8F">
            <w:pPr>
              <w:jc w:val="both"/>
              <w:rPr>
                <w:rFonts w:asciiTheme="minorHAnsi" w:hAnsiTheme="minorHAnsi"/>
                <w:bCs/>
              </w:rPr>
            </w:pPr>
          </w:p>
        </w:tc>
      </w:tr>
    </w:tbl>
    <w:p w14:paraId="781F43E9" w14:textId="77777777" w:rsidR="00EE56B3" w:rsidRDefault="00EE56B3" w:rsidP="00384657"/>
    <w:tbl>
      <w:tblPr>
        <w:tblpPr w:leftFromText="180" w:rightFromText="180" w:vertAnchor="text" w:horzAnchor="margin" w:tblpXSpec="center" w:tblpY="-27"/>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8"/>
      </w:tblGrid>
      <w:tr w:rsidR="00384657" w14:paraId="18E5847F" w14:textId="77777777" w:rsidTr="00000776">
        <w:trPr>
          <w:trHeight w:val="170"/>
        </w:trPr>
        <w:tc>
          <w:tcPr>
            <w:tcW w:w="10748" w:type="dxa"/>
            <w:tcBorders>
              <w:top w:val="nil"/>
              <w:left w:val="nil"/>
              <w:bottom w:val="nil"/>
              <w:right w:val="nil"/>
            </w:tcBorders>
            <w:shd w:val="clear" w:color="auto" w:fill="D3E5F9"/>
            <w:vAlign w:val="center"/>
          </w:tcPr>
          <w:p w14:paraId="62274DEE" w14:textId="77777777" w:rsidR="00384657" w:rsidRPr="00BB03C8" w:rsidRDefault="00384657" w:rsidP="00000776">
            <w:pPr>
              <w:jc w:val="center"/>
              <w:rPr>
                <w:b/>
              </w:rPr>
            </w:pPr>
            <w:r>
              <w:rPr>
                <w:b/>
                <w:sz w:val="24"/>
              </w:rPr>
              <w:t>Module Weekly Syllabus</w:t>
            </w:r>
          </w:p>
        </w:tc>
      </w:tr>
    </w:tbl>
    <w:tbl>
      <w:tblPr>
        <w:tblStyle w:val="TableGrid"/>
        <w:tblpPr w:leftFromText="180" w:rightFromText="180" w:vertAnchor="text" w:horzAnchor="margin" w:tblpXSpec="center" w:tblpY="492"/>
        <w:tblW w:w="10699" w:type="dxa"/>
        <w:tblBorders>
          <w:top w:val="dashSmallGap" w:sz="4" w:space="0" w:color="AEAAAA" w:themeColor="background2" w:themeShade="BF"/>
          <w:left w:val="dashSmallGap" w:sz="4" w:space="0" w:color="AEAAAA" w:themeColor="background2" w:themeShade="BF"/>
          <w:bottom w:val="dashSmallGap" w:sz="4" w:space="0" w:color="AEAAAA" w:themeColor="background2" w:themeShade="BF"/>
          <w:right w:val="dashSmallGap" w:sz="4" w:space="0" w:color="AEAAAA" w:themeColor="background2" w:themeShade="BF"/>
          <w:insideH w:val="dashSmallGap" w:sz="4" w:space="0" w:color="AEAAAA" w:themeColor="background2" w:themeShade="BF"/>
          <w:insideV w:val="dashSmallGap" w:sz="4" w:space="0" w:color="AEAAAA" w:themeColor="background2" w:themeShade="BF"/>
        </w:tblBorders>
        <w:shd w:val="clear" w:color="auto" w:fill="FFFFFF" w:themeFill="background1"/>
        <w:tblLook w:val="04A0" w:firstRow="1" w:lastRow="0" w:firstColumn="1" w:lastColumn="0" w:noHBand="0" w:noVBand="1"/>
      </w:tblPr>
      <w:tblGrid>
        <w:gridCol w:w="3964"/>
        <w:gridCol w:w="6735"/>
      </w:tblGrid>
      <w:tr w:rsidR="00384657" w14:paraId="0CAD2703" w14:textId="77777777" w:rsidTr="00000776">
        <w:trPr>
          <w:trHeight w:val="274"/>
        </w:trPr>
        <w:tc>
          <w:tcPr>
            <w:tcW w:w="3964" w:type="dxa"/>
            <w:tcBorders>
              <w:top w:val="dotted" w:sz="4" w:space="0" w:color="auto"/>
              <w:left w:val="dotted" w:sz="4" w:space="0" w:color="auto"/>
              <w:bottom w:val="dotted" w:sz="4" w:space="0" w:color="auto"/>
              <w:right w:val="dotted" w:sz="4" w:space="0" w:color="auto"/>
            </w:tcBorders>
            <w:shd w:val="clear" w:color="auto" w:fill="FFFFFF" w:themeFill="background1"/>
          </w:tcPr>
          <w:p w14:paraId="3818B83B" w14:textId="77777777" w:rsidR="00384657" w:rsidRPr="00B36227" w:rsidRDefault="00384657" w:rsidP="00000776">
            <w:pPr>
              <w:spacing w:after="0"/>
              <w:rPr>
                <w:b/>
              </w:rPr>
            </w:pPr>
            <w:bookmarkStart w:id="0" w:name="_Hlk177988181"/>
            <w:r w:rsidRPr="00B36227">
              <w:rPr>
                <w:b/>
              </w:rPr>
              <w:t>Week 1:</w:t>
            </w:r>
          </w:p>
          <w:p w14:paraId="4F84984F" w14:textId="3FF49006" w:rsidR="00384657" w:rsidRPr="00B36227" w:rsidRDefault="00E545EB" w:rsidP="00E545EB">
            <w:pPr>
              <w:spacing w:after="0"/>
            </w:pPr>
            <w:r>
              <w:t xml:space="preserve">Thursday </w:t>
            </w:r>
            <w:r w:rsidR="0092211C">
              <w:t>30.01.2025</w:t>
            </w:r>
          </w:p>
        </w:tc>
        <w:tc>
          <w:tcPr>
            <w:tcW w:w="6735" w:type="dxa"/>
            <w:tcBorders>
              <w:top w:val="dotted" w:sz="4" w:space="0" w:color="auto"/>
              <w:left w:val="dotted" w:sz="4" w:space="0" w:color="auto"/>
              <w:bottom w:val="dotted" w:sz="4" w:space="0" w:color="auto"/>
              <w:right w:val="dotted" w:sz="4" w:space="0" w:color="auto"/>
            </w:tcBorders>
            <w:shd w:val="clear" w:color="auto" w:fill="FFFFFF" w:themeFill="background1"/>
          </w:tcPr>
          <w:p w14:paraId="2B48A5F2" w14:textId="79979557" w:rsidR="0092211C" w:rsidRDefault="00384657" w:rsidP="0092211C">
            <w:pPr>
              <w:spacing w:after="0"/>
              <w:rPr>
                <w:szCs w:val="22"/>
              </w:rPr>
            </w:pPr>
            <w:r w:rsidRPr="00BD7BFB">
              <w:rPr>
                <w:szCs w:val="22"/>
              </w:rPr>
              <w:t xml:space="preserve">Introduction to maritime arbitration and overview of </w:t>
            </w:r>
            <w:r>
              <w:rPr>
                <w:szCs w:val="22"/>
              </w:rPr>
              <w:t xml:space="preserve">major </w:t>
            </w:r>
            <w:r w:rsidRPr="00BD7BFB">
              <w:rPr>
                <w:szCs w:val="22"/>
              </w:rPr>
              <w:t>maritime arbitration centre</w:t>
            </w:r>
            <w:r w:rsidR="0092211C">
              <w:rPr>
                <w:szCs w:val="22"/>
              </w:rPr>
              <w:t>s</w:t>
            </w:r>
            <w:r w:rsidR="00487460">
              <w:rPr>
                <w:szCs w:val="22"/>
              </w:rPr>
              <w:t xml:space="preserve"> – MG </w:t>
            </w:r>
          </w:p>
          <w:p w14:paraId="3DB2B671" w14:textId="5D0C1873" w:rsidR="00384657" w:rsidRPr="00E13F29" w:rsidRDefault="00384657" w:rsidP="0092211C">
            <w:pPr>
              <w:spacing w:after="0"/>
              <w:rPr>
                <w:szCs w:val="22"/>
              </w:rPr>
            </w:pPr>
            <w:r w:rsidRPr="00BD7BFB">
              <w:rPr>
                <w:szCs w:val="22"/>
              </w:rPr>
              <w:t>The agreement to arbitrate</w:t>
            </w:r>
            <w:r>
              <w:rPr>
                <w:szCs w:val="22"/>
              </w:rPr>
              <w:t xml:space="preserve"> I: charterparty contracts</w:t>
            </w:r>
            <w:r w:rsidR="00487460">
              <w:rPr>
                <w:szCs w:val="22"/>
              </w:rPr>
              <w:t xml:space="preserve"> – MG </w:t>
            </w:r>
          </w:p>
          <w:p w14:paraId="0C0DE8EB" w14:textId="77777777" w:rsidR="00384657" w:rsidRPr="00E13F29" w:rsidRDefault="00384657" w:rsidP="0092211C">
            <w:pPr>
              <w:spacing w:after="0"/>
              <w:rPr>
                <w:szCs w:val="22"/>
              </w:rPr>
            </w:pPr>
          </w:p>
        </w:tc>
      </w:tr>
      <w:tr w:rsidR="00384657" w14:paraId="15C3C42D" w14:textId="77777777" w:rsidTr="00000776">
        <w:trPr>
          <w:trHeight w:val="274"/>
        </w:trPr>
        <w:tc>
          <w:tcPr>
            <w:tcW w:w="3964" w:type="dxa"/>
            <w:tcBorders>
              <w:top w:val="dotted" w:sz="4" w:space="0" w:color="auto"/>
              <w:left w:val="dotted" w:sz="4" w:space="0" w:color="auto"/>
              <w:bottom w:val="dotted" w:sz="4" w:space="0" w:color="auto"/>
              <w:right w:val="dotted" w:sz="4" w:space="0" w:color="auto"/>
            </w:tcBorders>
            <w:shd w:val="clear" w:color="auto" w:fill="FFFFFF" w:themeFill="background1"/>
          </w:tcPr>
          <w:p w14:paraId="69BE54EF" w14:textId="77777777" w:rsidR="00384657" w:rsidRDefault="00384657" w:rsidP="00000776">
            <w:pPr>
              <w:spacing w:after="0"/>
              <w:rPr>
                <w:b/>
              </w:rPr>
            </w:pPr>
            <w:r w:rsidRPr="00B36227">
              <w:rPr>
                <w:b/>
              </w:rPr>
              <w:t>Week 2:</w:t>
            </w:r>
          </w:p>
          <w:p w14:paraId="446C18C2" w14:textId="2734754F" w:rsidR="00384657" w:rsidRPr="00B36227" w:rsidRDefault="00453F74" w:rsidP="00453F74">
            <w:pPr>
              <w:spacing w:after="0"/>
            </w:pPr>
            <w:r>
              <w:t>Thursday 06.02.2025</w:t>
            </w:r>
          </w:p>
        </w:tc>
        <w:tc>
          <w:tcPr>
            <w:tcW w:w="6735" w:type="dxa"/>
            <w:tcBorders>
              <w:top w:val="dotted" w:sz="4" w:space="0" w:color="auto"/>
              <w:left w:val="dotted" w:sz="4" w:space="0" w:color="auto"/>
              <w:bottom w:val="dotted" w:sz="4" w:space="0" w:color="auto"/>
              <w:right w:val="dotted" w:sz="4" w:space="0" w:color="auto"/>
            </w:tcBorders>
            <w:shd w:val="clear" w:color="auto" w:fill="FFFFFF" w:themeFill="background1"/>
          </w:tcPr>
          <w:p w14:paraId="3CECBBE4" w14:textId="224DA3D3" w:rsidR="00384657" w:rsidRPr="00E13F29" w:rsidRDefault="00384657" w:rsidP="0092211C">
            <w:pPr>
              <w:spacing w:after="0"/>
              <w:rPr>
                <w:szCs w:val="22"/>
              </w:rPr>
            </w:pPr>
            <w:r w:rsidRPr="00BD7BFB">
              <w:rPr>
                <w:szCs w:val="22"/>
              </w:rPr>
              <w:t>The agreement to arbitrate</w:t>
            </w:r>
            <w:r>
              <w:rPr>
                <w:szCs w:val="22"/>
              </w:rPr>
              <w:t xml:space="preserve"> II: bill of lading contracts</w:t>
            </w:r>
            <w:r w:rsidR="002C0187">
              <w:rPr>
                <w:szCs w:val="22"/>
              </w:rPr>
              <w:t xml:space="preserve"> </w:t>
            </w:r>
            <w:r w:rsidR="00487460">
              <w:rPr>
                <w:szCs w:val="22"/>
              </w:rPr>
              <w:t>–</w:t>
            </w:r>
            <w:r w:rsidR="002C0187">
              <w:rPr>
                <w:szCs w:val="22"/>
              </w:rPr>
              <w:t xml:space="preserve"> BR</w:t>
            </w:r>
            <w:r w:rsidR="00487460">
              <w:rPr>
                <w:szCs w:val="22"/>
              </w:rPr>
              <w:t xml:space="preserve"> </w:t>
            </w:r>
          </w:p>
          <w:p w14:paraId="60F0ED12" w14:textId="77777777" w:rsidR="00384657" w:rsidRPr="00E13F29" w:rsidRDefault="00384657" w:rsidP="0092211C">
            <w:pPr>
              <w:spacing w:after="0"/>
              <w:rPr>
                <w:szCs w:val="22"/>
              </w:rPr>
            </w:pPr>
          </w:p>
        </w:tc>
      </w:tr>
      <w:tr w:rsidR="00384657" w14:paraId="2ADC2AC5" w14:textId="77777777" w:rsidTr="00000776">
        <w:trPr>
          <w:trHeight w:val="274"/>
        </w:trPr>
        <w:tc>
          <w:tcPr>
            <w:tcW w:w="3964" w:type="dxa"/>
            <w:tcBorders>
              <w:top w:val="dotted" w:sz="4" w:space="0" w:color="auto"/>
              <w:left w:val="dotted" w:sz="4" w:space="0" w:color="auto"/>
              <w:bottom w:val="dotted" w:sz="4" w:space="0" w:color="auto"/>
              <w:right w:val="dotted" w:sz="4" w:space="0" w:color="auto"/>
            </w:tcBorders>
            <w:shd w:val="clear" w:color="auto" w:fill="FFFFFF" w:themeFill="background1"/>
          </w:tcPr>
          <w:p w14:paraId="1249B6C3" w14:textId="77777777" w:rsidR="00384657" w:rsidRDefault="00384657" w:rsidP="00000776">
            <w:pPr>
              <w:spacing w:after="0"/>
            </w:pPr>
            <w:r w:rsidRPr="00B36227">
              <w:rPr>
                <w:b/>
              </w:rPr>
              <w:t>Week 3:</w:t>
            </w:r>
          </w:p>
          <w:p w14:paraId="35721E8C" w14:textId="6D7A323B" w:rsidR="00384657" w:rsidRDefault="00A17AF6" w:rsidP="00000776">
            <w:pPr>
              <w:spacing w:after="0"/>
            </w:pPr>
            <w:bookmarkStart w:id="1" w:name="OLE_LINK25"/>
            <w:bookmarkStart w:id="2" w:name="OLE_LINK26"/>
            <w:r>
              <w:t>Thursday 13.02.2025</w:t>
            </w:r>
          </w:p>
          <w:bookmarkEnd w:id="1"/>
          <w:bookmarkEnd w:id="2"/>
          <w:p w14:paraId="760AB659" w14:textId="77777777" w:rsidR="00384657" w:rsidRPr="00F52858" w:rsidRDefault="00384657" w:rsidP="00000776">
            <w:pPr>
              <w:spacing w:after="0"/>
            </w:pPr>
          </w:p>
        </w:tc>
        <w:tc>
          <w:tcPr>
            <w:tcW w:w="6735" w:type="dxa"/>
            <w:tcBorders>
              <w:top w:val="dotted" w:sz="4" w:space="0" w:color="auto"/>
              <w:left w:val="dotted" w:sz="4" w:space="0" w:color="auto"/>
              <w:bottom w:val="dotted" w:sz="4" w:space="0" w:color="auto"/>
              <w:right w:val="dotted" w:sz="4" w:space="0" w:color="auto"/>
            </w:tcBorders>
            <w:shd w:val="clear" w:color="auto" w:fill="FFFFFF" w:themeFill="background1"/>
          </w:tcPr>
          <w:p w14:paraId="1F214499" w14:textId="6AFF5476" w:rsidR="00E1130F" w:rsidRDefault="00384657" w:rsidP="0092211C">
            <w:pPr>
              <w:spacing w:after="0"/>
              <w:rPr>
                <w:szCs w:val="22"/>
              </w:rPr>
            </w:pPr>
            <w:r w:rsidRPr="00BD7BFB">
              <w:rPr>
                <w:szCs w:val="22"/>
              </w:rPr>
              <w:t xml:space="preserve">The </w:t>
            </w:r>
            <w:r>
              <w:rPr>
                <w:szCs w:val="22"/>
              </w:rPr>
              <w:t>maritime arbitral process under English and Federal US Law and under LMAA Terms and SMA-NY Rules</w:t>
            </w:r>
            <w:r w:rsidR="00487460">
              <w:rPr>
                <w:szCs w:val="22"/>
              </w:rPr>
              <w:t xml:space="preserve"> – MG </w:t>
            </w:r>
            <w:r>
              <w:rPr>
                <w:szCs w:val="22"/>
              </w:rPr>
              <w:t xml:space="preserve"> </w:t>
            </w:r>
          </w:p>
          <w:p w14:paraId="77E51825" w14:textId="77777777" w:rsidR="00384657" w:rsidRPr="00E13F29" w:rsidRDefault="00384657" w:rsidP="005E63A5">
            <w:pPr>
              <w:spacing w:after="0"/>
              <w:rPr>
                <w:szCs w:val="22"/>
              </w:rPr>
            </w:pPr>
          </w:p>
        </w:tc>
      </w:tr>
      <w:tr w:rsidR="00384657" w14:paraId="44B34CBE" w14:textId="77777777" w:rsidTr="00000776">
        <w:trPr>
          <w:trHeight w:val="274"/>
        </w:trPr>
        <w:tc>
          <w:tcPr>
            <w:tcW w:w="3964" w:type="dxa"/>
            <w:tcBorders>
              <w:top w:val="dotted" w:sz="4" w:space="0" w:color="auto"/>
              <w:left w:val="dotted" w:sz="4" w:space="0" w:color="auto"/>
              <w:bottom w:val="dotted" w:sz="4" w:space="0" w:color="auto"/>
              <w:right w:val="dotted" w:sz="4" w:space="0" w:color="auto"/>
            </w:tcBorders>
            <w:shd w:val="clear" w:color="auto" w:fill="FFFFFF" w:themeFill="background1"/>
          </w:tcPr>
          <w:p w14:paraId="5B618D9F" w14:textId="77777777" w:rsidR="00384657" w:rsidRDefault="00384657" w:rsidP="00000776">
            <w:pPr>
              <w:spacing w:after="0"/>
            </w:pPr>
            <w:r w:rsidRPr="00B36227">
              <w:rPr>
                <w:b/>
              </w:rPr>
              <w:t>Week 4:</w:t>
            </w:r>
          </w:p>
          <w:p w14:paraId="1C81C2FD" w14:textId="37315748" w:rsidR="00384657" w:rsidRPr="00F52858" w:rsidRDefault="0068201F" w:rsidP="0068201F">
            <w:pPr>
              <w:spacing w:after="0"/>
            </w:pPr>
            <w:r>
              <w:t>Thursday 20.02.2025</w:t>
            </w:r>
          </w:p>
        </w:tc>
        <w:tc>
          <w:tcPr>
            <w:tcW w:w="6735" w:type="dxa"/>
            <w:tcBorders>
              <w:top w:val="dotted" w:sz="4" w:space="0" w:color="auto"/>
              <w:left w:val="dotted" w:sz="4" w:space="0" w:color="auto"/>
              <w:bottom w:val="dotted" w:sz="4" w:space="0" w:color="auto"/>
              <w:right w:val="dotted" w:sz="4" w:space="0" w:color="auto"/>
            </w:tcBorders>
            <w:shd w:val="clear" w:color="auto" w:fill="FFFFFF" w:themeFill="background1"/>
          </w:tcPr>
          <w:p w14:paraId="00109FD1" w14:textId="02CBB7DC" w:rsidR="00384657" w:rsidRDefault="00384657" w:rsidP="0092211C">
            <w:pPr>
              <w:spacing w:after="0"/>
              <w:rPr>
                <w:szCs w:val="22"/>
              </w:rPr>
            </w:pPr>
            <w:r w:rsidRPr="00BD7BFB">
              <w:rPr>
                <w:szCs w:val="22"/>
              </w:rPr>
              <w:t>The importance of expertise: mari</w:t>
            </w:r>
            <w:r>
              <w:rPr>
                <w:szCs w:val="22"/>
              </w:rPr>
              <w:t>time arbitrators and their role</w:t>
            </w:r>
            <w:r w:rsidR="007E3060">
              <w:rPr>
                <w:szCs w:val="22"/>
              </w:rPr>
              <w:t xml:space="preserve"> – MG </w:t>
            </w:r>
          </w:p>
          <w:p w14:paraId="6F6D0705" w14:textId="7B156D57" w:rsidR="00EE56B3" w:rsidRPr="00E13F29" w:rsidRDefault="00EE56B3" w:rsidP="0092211C">
            <w:pPr>
              <w:spacing w:after="0"/>
              <w:rPr>
                <w:szCs w:val="22"/>
              </w:rPr>
            </w:pPr>
          </w:p>
        </w:tc>
      </w:tr>
      <w:tr w:rsidR="00384657" w14:paraId="38466108" w14:textId="77777777" w:rsidTr="00000776">
        <w:trPr>
          <w:trHeight w:val="274"/>
        </w:trPr>
        <w:tc>
          <w:tcPr>
            <w:tcW w:w="3964" w:type="dxa"/>
            <w:tcBorders>
              <w:top w:val="dotted" w:sz="4" w:space="0" w:color="auto"/>
              <w:left w:val="dotted" w:sz="4" w:space="0" w:color="auto"/>
              <w:bottom w:val="dotted" w:sz="4" w:space="0" w:color="auto"/>
              <w:right w:val="dotted" w:sz="4" w:space="0" w:color="auto"/>
            </w:tcBorders>
            <w:shd w:val="clear" w:color="auto" w:fill="FFFFFF" w:themeFill="background1"/>
          </w:tcPr>
          <w:p w14:paraId="2D93EDAA" w14:textId="77777777" w:rsidR="00384657" w:rsidRDefault="00384657" w:rsidP="00000776">
            <w:pPr>
              <w:spacing w:after="0"/>
            </w:pPr>
            <w:r w:rsidRPr="00B36227">
              <w:rPr>
                <w:b/>
              </w:rPr>
              <w:t>Week 5:</w:t>
            </w:r>
          </w:p>
          <w:p w14:paraId="7347C638" w14:textId="6778D563" w:rsidR="00384657" w:rsidRDefault="00563E1E" w:rsidP="00000776">
            <w:pPr>
              <w:spacing w:after="0"/>
            </w:pPr>
            <w:r>
              <w:t>Thursday 27.02.2025</w:t>
            </w:r>
          </w:p>
          <w:p w14:paraId="238C351A" w14:textId="77777777" w:rsidR="00384657" w:rsidRPr="00F52858" w:rsidRDefault="00384657" w:rsidP="00000776">
            <w:pPr>
              <w:spacing w:after="0"/>
            </w:pPr>
          </w:p>
        </w:tc>
        <w:tc>
          <w:tcPr>
            <w:tcW w:w="6735" w:type="dxa"/>
            <w:tcBorders>
              <w:top w:val="dotted" w:sz="4" w:space="0" w:color="auto"/>
              <w:left w:val="dotted" w:sz="4" w:space="0" w:color="auto"/>
              <w:bottom w:val="dotted" w:sz="4" w:space="0" w:color="auto"/>
              <w:right w:val="dotted" w:sz="4" w:space="0" w:color="auto"/>
            </w:tcBorders>
            <w:shd w:val="clear" w:color="auto" w:fill="FFFFFF" w:themeFill="background1"/>
          </w:tcPr>
          <w:p w14:paraId="0E31EC6F" w14:textId="1629BA30" w:rsidR="00384657" w:rsidRDefault="004F57AF" w:rsidP="0092211C">
            <w:pPr>
              <w:spacing w:after="0"/>
              <w:rPr>
                <w:szCs w:val="22"/>
              </w:rPr>
            </w:pPr>
            <w:r>
              <w:rPr>
                <w:szCs w:val="22"/>
              </w:rPr>
              <w:t>How does the maritime arbitral tribunal decide? Assessing the evidence and applying the law</w:t>
            </w:r>
            <w:r w:rsidR="007E3060">
              <w:rPr>
                <w:szCs w:val="22"/>
              </w:rPr>
              <w:t xml:space="preserve"> – MG </w:t>
            </w:r>
          </w:p>
          <w:p w14:paraId="2C480763" w14:textId="3EA730B8" w:rsidR="00384657" w:rsidRPr="00E13F29" w:rsidRDefault="004F57AF" w:rsidP="0092211C">
            <w:pPr>
              <w:spacing w:after="0"/>
              <w:rPr>
                <w:szCs w:val="22"/>
              </w:rPr>
            </w:pPr>
            <w:r>
              <w:rPr>
                <w:szCs w:val="22"/>
              </w:rPr>
              <w:t xml:space="preserve"> </w:t>
            </w:r>
          </w:p>
          <w:p w14:paraId="6250291E" w14:textId="77777777" w:rsidR="00384657" w:rsidRPr="00E13F29" w:rsidRDefault="00384657" w:rsidP="0092211C">
            <w:pPr>
              <w:spacing w:after="0"/>
              <w:rPr>
                <w:szCs w:val="22"/>
              </w:rPr>
            </w:pPr>
          </w:p>
        </w:tc>
      </w:tr>
      <w:tr w:rsidR="00384657" w14:paraId="051F61C6" w14:textId="77777777" w:rsidTr="00000776">
        <w:trPr>
          <w:trHeight w:val="274"/>
        </w:trPr>
        <w:tc>
          <w:tcPr>
            <w:tcW w:w="10699"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14:paraId="142EC722" w14:textId="77777777" w:rsidR="00EE56B3" w:rsidRDefault="00EE56B3" w:rsidP="0092211C">
            <w:pPr>
              <w:spacing w:after="0"/>
              <w:jc w:val="center"/>
              <w:rPr>
                <w:b/>
                <w:szCs w:val="22"/>
              </w:rPr>
            </w:pPr>
          </w:p>
          <w:p w14:paraId="6E4841BF" w14:textId="64698663" w:rsidR="00384657" w:rsidRDefault="00384657" w:rsidP="0092211C">
            <w:pPr>
              <w:spacing w:after="0"/>
              <w:jc w:val="center"/>
              <w:rPr>
                <w:b/>
                <w:szCs w:val="22"/>
              </w:rPr>
            </w:pPr>
            <w:r w:rsidRPr="00E13F29">
              <w:rPr>
                <w:b/>
                <w:szCs w:val="22"/>
              </w:rPr>
              <w:t xml:space="preserve">WEEK 6 </w:t>
            </w:r>
            <w:r w:rsidR="00AF1B4B">
              <w:rPr>
                <w:b/>
                <w:szCs w:val="22"/>
              </w:rPr>
              <w:t>–</w:t>
            </w:r>
            <w:r w:rsidRPr="00E13F29">
              <w:rPr>
                <w:b/>
                <w:szCs w:val="22"/>
              </w:rPr>
              <w:t xml:space="preserve"> STUDY WEEK</w:t>
            </w:r>
          </w:p>
          <w:p w14:paraId="7F05306A" w14:textId="619A0F42" w:rsidR="00EE56B3" w:rsidRPr="00E13F29" w:rsidRDefault="00EE56B3" w:rsidP="0092211C">
            <w:pPr>
              <w:spacing w:after="0"/>
              <w:jc w:val="center"/>
              <w:rPr>
                <w:b/>
                <w:szCs w:val="22"/>
              </w:rPr>
            </w:pPr>
          </w:p>
        </w:tc>
      </w:tr>
      <w:tr w:rsidR="00384657" w14:paraId="0B7D0DEE" w14:textId="77777777" w:rsidTr="00000776">
        <w:trPr>
          <w:trHeight w:val="274"/>
        </w:trPr>
        <w:tc>
          <w:tcPr>
            <w:tcW w:w="3964" w:type="dxa"/>
            <w:tcBorders>
              <w:top w:val="dotted" w:sz="4" w:space="0" w:color="auto"/>
              <w:left w:val="dotted" w:sz="4" w:space="0" w:color="auto"/>
              <w:bottom w:val="dotted" w:sz="4" w:space="0" w:color="auto"/>
              <w:right w:val="dotted" w:sz="4" w:space="0" w:color="auto"/>
            </w:tcBorders>
            <w:shd w:val="clear" w:color="auto" w:fill="FFFFFF" w:themeFill="background1"/>
          </w:tcPr>
          <w:p w14:paraId="1FF6A7CC" w14:textId="77777777" w:rsidR="00384657" w:rsidRPr="00E13F29" w:rsidRDefault="00384657" w:rsidP="00000776">
            <w:pPr>
              <w:spacing w:after="0"/>
              <w:rPr>
                <w:b/>
              </w:rPr>
            </w:pPr>
            <w:r w:rsidRPr="00E13F29">
              <w:rPr>
                <w:b/>
              </w:rPr>
              <w:t>Week 7:</w:t>
            </w:r>
          </w:p>
          <w:p w14:paraId="5F372873" w14:textId="3B1644B5" w:rsidR="00384657" w:rsidRPr="00F52858" w:rsidRDefault="00E555B8" w:rsidP="00000776">
            <w:pPr>
              <w:spacing w:after="0"/>
            </w:pPr>
            <w:r>
              <w:t xml:space="preserve">Thursday </w:t>
            </w:r>
            <w:r w:rsidR="004C4202">
              <w:t>13</w:t>
            </w:r>
            <w:r w:rsidR="004D031D">
              <w:t>.03.2021</w:t>
            </w:r>
          </w:p>
          <w:p w14:paraId="6217B7B1" w14:textId="77777777" w:rsidR="00384657" w:rsidRPr="00F52858" w:rsidRDefault="00384657" w:rsidP="00000776">
            <w:pPr>
              <w:spacing w:after="0"/>
            </w:pPr>
          </w:p>
        </w:tc>
        <w:tc>
          <w:tcPr>
            <w:tcW w:w="6735" w:type="dxa"/>
            <w:tcBorders>
              <w:top w:val="dotted" w:sz="4" w:space="0" w:color="auto"/>
              <w:left w:val="dotted" w:sz="4" w:space="0" w:color="auto"/>
              <w:bottom w:val="dotted" w:sz="4" w:space="0" w:color="auto"/>
              <w:right w:val="dotted" w:sz="4" w:space="0" w:color="auto"/>
            </w:tcBorders>
            <w:shd w:val="clear" w:color="auto" w:fill="FFFFFF" w:themeFill="background1"/>
          </w:tcPr>
          <w:p w14:paraId="0B6B531B" w14:textId="32CF8DB4" w:rsidR="00384657" w:rsidRDefault="004F57AF" w:rsidP="0092211C">
            <w:pPr>
              <w:spacing w:after="0"/>
              <w:rPr>
                <w:szCs w:val="22"/>
              </w:rPr>
            </w:pPr>
            <w:r w:rsidRPr="00BD7BFB">
              <w:rPr>
                <w:szCs w:val="22"/>
              </w:rPr>
              <w:t xml:space="preserve">Challenging </w:t>
            </w:r>
            <w:r w:rsidR="00563E1E">
              <w:rPr>
                <w:szCs w:val="22"/>
              </w:rPr>
              <w:t xml:space="preserve">and </w:t>
            </w:r>
            <w:r>
              <w:rPr>
                <w:szCs w:val="22"/>
              </w:rPr>
              <w:t xml:space="preserve">Appealing </w:t>
            </w:r>
            <w:r w:rsidR="00563E1E">
              <w:rPr>
                <w:szCs w:val="22"/>
              </w:rPr>
              <w:t>A</w:t>
            </w:r>
            <w:r>
              <w:rPr>
                <w:szCs w:val="22"/>
              </w:rPr>
              <w:t>wards</w:t>
            </w:r>
            <w:r w:rsidR="007E3060">
              <w:rPr>
                <w:szCs w:val="22"/>
              </w:rPr>
              <w:t xml:space="preserve"> – MG </w:t>
            </w:r>
          </w:p>
          <w:p w14:paraId="2F5FDBB9" w14:textId="77777777" w:rsidR="00384657" w:rsidRPr="00E13F29" w:rsidRDefault="00384657" w:rsidP="005E63A5">
            <w:pPr>
              <w:spacing w:after="0"/>
              <w:rPr>
                <w:szCs w:val="22"/>
              </w:rPr>
            </w:pPr>
          </w:p>
        </w:tc>
      </w:tr>
      <w:tr w:rsidR="00384657" w14:paraId="6D94A212" w14:textId="77777777" w:rsidTr="00350A38">
        <w:trPr>
          <w:trHeight w:val="702"/>
        </w:trPr>
        <w:tc>
          <w:tcPr>
            <w:tcW w:w="3964" w:type="dxa"/>
            <w:tcBorders>
              <w:top w:val="dotted" w:sz="4" w:space="0" w:color="auto"/>
              <w:left w:val="dotted" w:sz="4" w:space="0" w:color="auto"/>
              <w:bottom w:val="dotted" w:sz="4" w:space="0" w:color="auto"/>
              <w:right w:val="dotted" w:sz="4" w:space="0" w:color="auto"/>
            </w:tcBorders>
            <w:shd w:val="clear" w:color="auto" w:fill="FFFFFF" w:themeFill="background1"/>
          </w:tcPr>
          <w:p w14:paraId="578C2AC1" w14:textId="77777777" w:rsidR="00384657" w:rsidRDefault="00384657" w:rsidP="00000776">
            <w:pPr>
              <w:spacing w:after="0"/>
            </w:pPr>
            <w:r w:rsidRPr="00B36227">
              <w:rPr>
                <w:b/>
              </w:rPr>
              <w:t>Week 8:</w:t>
            </w:r>
          </w:p>
          <w:p w14:paraId="5D3F52AE" w14:textId="6F32AF8D" w:rsidR="00384657" w:rsidRPr="00F52858" w:rsidRDefault="00A9757B" w:rsidP="00A9757B">
            <w:pPr>
              <w:spacing w:after="0"/>
            </w:pPr>
            <w:r>
              <w:t>Thursday 20.03.2025</w:t>
            </w:r>
          </w:p>
        </w:tc>
        <w:tc>
          <w:tcPr>
            <w:tcW w:w="6735" w:type="dxa"/>
            <w:tcBorders>
              <w:top w:val="dotted" w:sz="4" w:space="0" w:color="auto"/>
              <w:left w:val="dotted" w:sz="4" w:space="0" w:color="auto"/>
              <w:bottom w:val="dotted" w:sz="4" w:space="0" w:color="auto"/>
              <w:right w:val="dotted" w:sz="4" w:space="0" w:color="auto"/>
            </w:tcBorders>
            <w:shd w:val="clear" w:color="auto" w:fill="FFFFFF" w:themeFill="background1"/>
          </w:tcPr>
          <w:p w14:paraId="23757EF7" w14:textId="7DB1115B" w:rsidR="00EE56B3" w:rsidRPr="00E13F29" w:rsidRDefault="003011D7" w:rsidP="00350A38">
            <w:pPr>
              <w:spacing w:after="0"/>
              <w:rPr>
                <w:szCs w:val="22"/>
              </w:rPr>
            </w:pPr>
            <w:r>
              <w:rPr>
                <w:szCs w:val="22"/>
              </w:rPr>
              <w:t>Confidentiality of Awards – benefits and implications</w:t>
            </w:r>
            <w:r w:rsidR="00CB1854">
              <w:rPr>
                <w:szCs w:val="22"/>
              </w:rPr>
              <w:t xml:space="preserve"> – BR </w:t>
            </w:r>
            <w:r>
              <w:rPr>
                <w:szCs w:val="22"/>
              </w:rPr>
              <w:t xml:space="preserve"> </w:t>
            </w:r>
          </w:p>
        </w:tc>
      </w:tr>
      <w:tr w:rsidR="00384657" w14:paraId="7EE8D433" w14:textId="77777777" w:rsidTr="00753D4D">
        <w:trPr>
          <w:trHeight w:val="781"/>
        </w:trPr>
        <w:tc>
          <w:tcPr>
            <w:tcW w:w="3964" w:type="dxa"/>
            <w:tcBorders>
              <w:top w:val="dotted" w:sz="4" w:space="0" w:color="auto"/>
              <w:left w:val="dotted" w:sz="4" w:space="0" w:color="auto"/>
              <w:bottom w:val="dotted" w:sz="4" w:space="0" w:color="auto"/>
              <w:right w:val="dotted" w:sz="4" w:space="0" w:color="auto"/>
            </w:tcBorders>
            <w:shd w:val="clear" w:color="auto" w:fill="FFFFFF" w:themeFill="background1"/>
          </w:tcPr>
          <w:p w14:paraId="7A1A6C4B" w14:textId="77777777" w:rsidR="00384657" w:rsidRDefault="00384657" w:rsidP="00000776">
            <w:pPr>
              <w:spacing w:after="0"/>
            </w:pPr>
            <w:r w:rsidRPr="00B36227">
              <w:rPr>
                <w:b/>
              </w:rPr>
              <w:t>Week 9:</w:t>
            </w:r>
          </w:p>
          <w:p w14:paraId="04346B57" w14:textId="3AC63B51" w:rsidR="00384657" w:rsidRPr="00F52858" w:rsidRDefault="00A9757B" w:rsidP="00000776">
            <w:pPr>
              <w:spacing w:after="0"/>
            </w:pPr>
            <w:r>
              <w:t>Thursday 27.03.2025</w:t>
            </w:r>
          </w:p>
        </w:tc>
        <w:tc>
          <w:tcPr>
            <w:tcW w:w="6735" w:type="dxa"/>
            <w:tcBorders>
              <w:top w:val="dotted" w:sz="4" w:space="0" w:color="auto"/>
              <w:left w:val="dotted" w:sz="4" w:space="0" w:color="auto"/>
              <w:bottom w:val="dotted" w:sz="4" w:space="0" w:color="auto"/>
              <w:right w:val="dotted" w:sz="4" w:space="0" w:color="auto"/>
            </w:tcBorders>
            <w:shd w:val="clear" w:color="auto" w:fill="FFFFFF" w:themeFill="background1"/>
          </w:tcPr>
          <w:p w14:paraId="25E28A85" w14:textId="51154127" w:rsidR="00384657" w:rsidRPr="00E13F29" w:rsidRDefault="003011D7" w:rsidP="0092211C">
            <w:pPr>
              <w:spacing w:after="0"/>
              <w:rPr>
                <w:szCs w:val="22"/>
              </w:rPr>
            </w:pPr>
            <w:r>
              <w:rPr>
                <w:szCs w:val="22"/>
              </w:rPr>
              <w:t>Enforcing awards</w:t>
            </w:r>
            <w:r w:rsidR="00CB1854">
              <w:rPr>
                <w:szCs w:val="22"/>
              </w:rPr>
              <w:t xml:space="preserve"> – MG </w:t>
            </w:r>
          </w:p>
        </w:tc>
      </w:tr>
      <w:tr w:rsidR="00384657" w14:paraId="5ACA341C" w14:textId="77777777" w:rsidTr="00753D4D">
        <w:trPr>
          <w:trHeight w:val="825"/>
        </w:trPr>
        <w:tc>
          <w:tcPr>
            <w:tcW w:w="3964" w:type="dxa"/>
            <w:tcBorders>
              <w:top w:val="dotted" w:sz="4" w:space="0" w:color="auto"/>
              <w:left w:val="dotted" w:sz="4" w:space="0" w:color="auto"/>
              <w:bottom w:val="dotted" w:sz="4" w:space="0" w:color="auto"/>
              <w:right w:val="dotted" w:sz="4" w:space="0" w:color="auto"/>
            </w:tcBorders>
            <w:shd w:val="clear" w:color="auto" w:fill="FFFFFF" w:themeFill="background1"/>
          </w:tcPr>
          <w:p w14:paraId="45219818" w14:textId="77777777" w:rsidR="00384657" w:rsidRDefault="00384657" w:rsidP="00000776">
            <w:pPr>
              <w:spacing w:after="0"/>
            </w:pPr>
            <w:r w:rsidRPr="00B36227">
              <w:rPr>
                <w:b/>
              </w:rPr>
              <w:lastRenderedPageBreak/>
              <w:t>Week 10:</w:t>
            </w:r>
          </w:p>
          <w:p w14:paraId="5C63D8A6" w14:textId="1C8F5913" w:rsidR="00384657" w:rsidRPr="00F52858" w:rsidRDefault="00A9757B" w:rsidP="00000776">
            <w:pPr>
              <w:spacing w:after="0"/>
            </w:pPr>
            <w:r>
              <w:t xml:space="preserve">Thursday </w:t>
            </w:r>
            <w:r w:rsidR="00753D4D">
              <w:t>06.03.2025</w:t>
            </w:r>
          </w:p>
        </w:tc>
        <w:tc>
          <w:tcPr>
            <w:tcW w:w="6735" w:type="dxa"/>
            <w:tcBorders>
              <w:top w:val="dotted" w:sz="4" w:space="0" w:color="auto"/>
              <w:left w:val="dotted" w:sz="4" w:space="0" w:color="auto"/>
              <w:bottom w:val="dotted" w:sz="4" w:space="0" w:color="auto"/>
              <w:right w:val="dotted" w:sz="4" w:space="0" w:color="auto"/>
            </w:tcBorders>
            <w:shd w:val="clear" w:color="auto" w:fill="FFFFFF" w:themeFill="background1"/>
          </w:tcPr>
          <w:p w14:paraId="1CC184F9" w14:textId="2F101908" w:rsidR="00384657" w:rsidRDefault="004F57AF" w:rsidP="0092211C">
            <w:pPr>
              <w:spacing w:after="0"/>
              <w:rPr>
                <w:szCs w:val="22"/>
              </w:rPr>
            </w:pPr>
            <w:r>
              <w:rPr>
                <w:szCs w:val="22"/>
              </w:rPr>
              <w:t>Arbitration and the continued development of shipping law</w:t>
            </w:r>
            <w:r w:rsidR="00CB1854">
              <w:rPr>
                <w:szCs w:val="22"/>
              </w:rPr>
              <w:t xml:space="preserve"> – MG </w:t>
            </w:r>
          </w:p>
          <w:p w14:paraId="47170FE9" w14:textId="79BECD9B" w:rsidR="00384657" w:rsidRPr="00E13F29" w:rsidRDefault="00384657" w:rsidP="0092211C">
            <w:pPr>
              <w:spacing w:after="0"/>
              <w:rPr>
                <w:szCs w:val="22"/>
              </w:rPr>
            </w:pPr>
          </w:p>
        </w:tc>
      </w:tr>
      <w:tr w:rsidR="00384657" w14:paraId="1BE4990A" w14:textId="77777777" w:rsidTr="00E1130F">
        <w:trPr>
          <w:trHeight w:val="781"/>
        </w:trPr>
        <w:tc>
          <w:tcPr>
            <w:tcW w:w="3964" w:type="dxa"/>
            <w:tcBorders>
              <w:top w:val="dotted" w:sz="4" w:space="0" w:color="auto"/>
              <w:left w:val="dotted" w:sz="4" w:space="0" w:color="auto"/>
              <w:bottom w:val="dotted" w:sz="4" w:space="0" w:color="auto"/>
              <w:right w:val="dotted" w:sz="4" w:space="0" w:color="auto"/>
            </w:tcBorders>
            <w:shd w:val="clear" w:color="auto" w:fill="FFFFFF" w:themeFill="background1"/>
          </w:tcPr>
          <w:p w14:paraId="1A3E078A" w14:textId="77777777" w:rsidR="00384657" w:rsidRDefault="00384657" w:rsidP="00000776">
            <w:pPr>
              <w:spacing w:after="0"/>
            </w:pPr>
            <w:r w:rsidRPr="00B36227">
              <w:rPr>
                <w:b/>
              </w:rPr>
              <w:t>Week 11:</w:t>
            </w:r>
          </w:p>
          <w:p w14:paraId="0E4317E7" w14:textId="333D1A54" w:rsidR="00384657" w:rsidRPr="00F52858" w:rsidRDefault="00753D4D" w:rsidP="00000776">
            <w:pPr>
              <w:spacing w:after="0"/>
            </w:pPr>
            <w:r>
              <w:t>Thursday 13.03.2025</w:t>
            </w:r>
          </w:p>
        </w:tc>
        <w:tc>
          <w:tcPr>
            <w:tcW w:w="6735" w:type="dxa"/>
            <w:tcBorders>
              <w:top w:val="dotted" w:sz="4" w:space="0" w:color="auto"/>
              <w:left w:val="dotted" w:sz="4" w:space="0" w:color="auto"/>
              <w:bottom w:val="dotted" w:sz="4" w:space="0" w:color="auto"/>
              <w:right w:val="dotted" w:sz="4" w:space="0" w:color="auto"/>
            </w:tcBorders>
            <w:shd w:val="clear" w:color="auto" w:fill="FFFFFF" w:themeFill="background1"/>
          </w:tcPr>
          <w:p w14:paraId="6BE81D55" w14:textId="1B088698" w:rsidR="00384657" w:rsidRDefault="00384657" w:rsidP="0092211C">
            <w:pPr>
              <w:spacing w:after="0"/>
              <w:rPr>
                <w:szCs w:val="22"/>
              </w:rPr>
            </w:pPr>
            <w:r>
              <w:rPr>
                <w:szCs w:val="22"/>
              </w:rPr>
              <w:t>Sum Up</w:t>
            </w:r>
            <w:r w:rsidR="00753D4D">
              <w:rPr>
                <w:szCs w:val="22"/>
              </w:rPr>
              <w:t xml:space="preserve"> and </w:t>
            </w:r>
            <w:r>
              <w:rPr>
                <w:szCs w:val="22"/>
              </w:rPr>
              <w:t>Exam Revision</w:t>
            </w:r>
            <w:r w:rsidR="00654D11">
              <w:rPr>
                <w:szCs w:val="22"/>
              </w:rPr>
              <w:t xml:space="preserve"> – MG </w:t>
            </w:r>
          </w:p>
          <w:p w14:paraId="576D6C67" w14:textId="7DFCF24B" w:rsidR="00EE56B3" w:rsidRPr="00E13F29" w:rsidRDefault="00EE56B3" w:rsidP="0092211C">
            <w:pPr>
              <w:spacing w:after="0"/>
              <w:rPr>
                <w:szCs w:val="22"/>
              </w:rPr>
            </w:pPr>
          </w:p>
        </w:tc>
      </w:tr>
      <w:bookmarkEnd w:id="0"/>
    </w:tbl>
    <w:p w14:paraId="2BCFE482" w14:textId="77777777" w:rsidR="00A01A59" w:rsidRDefault="00A01A59" w:rsidP="00A01A59"/>
    <w:tbl>
      <w:tblPr>
        <w:tblpPr w:leftFromText="180" w:rightFromText="180" w:vertAnchor="text" w:horzAnchor="margin" w:tblpXSpec="center" w:tblpY="160"/>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8"/>
      </w:tblGrid>
      <w:tr w:rsidR="00A01A59" w14:paraId="3DD81B6C" w14:textId="77777777" w:rsidTr="00106235">
        <w:trPr>
          <w:trHeight w:val="170"/>
        </w:trPr>
        <w:tc>
          <w:tcPr>
            <w:tcW w:w="10748" w:type="dxa"/>
            <w:tcBorders>
              <w:top w:val="nil"/>
              <w:left w:val="nil"/>
              <w:bottom w:val="nil"/>
              <w:right w:val="nil"/>
            </w:tcBorders>
            <w:shd w:val="clear" w:color="auto" w:fill="D3E5F9"/>
            <w:vAlign w:val="center"/>
          </w:tcPr>
          <w:p w14:paraId="617E1AD4" w14:textId="77777777" w:rsidR="00A01A59" w:rsidRPr="00BB03C8" w:rsidRDefault="00A01A59" w:rsidP="00106235">
            <w:pPr>
              <w:jc w:val="center"/>
              <w:rPr>
                <w:b/>
              </w:rPr>
            </w:pPr>
            <w:r>
              <w:rPr>
                <w:b/>
                <w:sz w:val="24"/>
              </w:rPr>
              <w:t xml:space="preserve">Reading List </w:t>
            </w:r>
          </w:p>
        </w:tc>
      </w:tr>
    </w:tbl>
    <w:tbl>
      <w:tblPr>
        <w:tblStyle w:val="TableGrid"/>
        <w:tblpPr w:leftFromText="180" w:rightFromText="180" w:vertAnchor="text" w:horzAnchor="page" w:tblpX="621" w:tblpY="860"/>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627"/>
      </w:tblGrid>
      <w:tr w:rsidR="00A01A59" w14:paraId="5219D477" w14:textId="77777777" w:rsidTr="00940F7C">
        <w:trPr>
          <w:trHeight w:val="1546"/>
        </w:trPr>
        <w:tc>
          <w:tcPr>
            <w:tcW w:w="10627" w:type="dxa"/>
            <w:tcBorders>
              <w:top w:val="dotted" w:sz="4" w:space="0" w:color="auto"/>
              <w:left w:val="dotted" w:sz="4" w:space="0" w:color="auto"/>
              <w:bottom w:val="dotted" w:sz="4" w:space="0" w:color="auto"/>
              <w:right w:val="dotted" w:sz="4" w:space="0" w:color="auto"/>
            </w:tcBorders>
            <w:shd w:val="clear" w:color="auto" w:fill="FFFFFF" w:themeFill="background1"/>
          </w:tcPr>
          <w:p w14:paraId="26A0C0FF" w14:textId="77777777" w:rsidR="00A01A59" w:rsidRDefault="0073213D" w:rsidP="00106235">
            <w:pPr>
              <w:rPr>
                <w:rFonts w:cs="Calibri"/>
                <w:szCs w:val="22"/>
              </w:rPr>
            </w:pPr>
            <w:r w:rsidRPr="003A1C41">
              <w:rPr>
                <w:rFonts w:cs="Calibri"/>
                <w:szCs w:val="22"/>
              </w:rPr>
              <w:t xml:space="preserve">C Ambrose et al., </w:t>
            </w:r>
            <w:r w:rsidRPr="00466876">
              <w:rPr>
                <w:rFonts w:cs="Calibri"/>
                <w:i/>
                <w:szCs w:val="22"/>
              </w:rPr>
              <w:t>London Maritime Arbitration</w:t>
            </w:r>
            <w:r w:rsidRPr="003A1C41">
              <w:rPr>
                <w:rFonts w:cs="Calibri"/>
                <w:szCs w:val="22"/>
              </w:rPr>
              <w:t xml:space="preserve"> (</w:t>
            </w:r>
            <w:r>
              <w:rPr>
                <w:rFonts w:cs="Calibri"/>
                <w:szCs w:val="22"/>
              </w:rPr>
              <w:t>4</w:t>
            </w:r>
            <w:r w:rsidRPr="00E91400">
              <w:rPr>
                <w:rFonts w:cs="Calibri"/>
                <w:szCs w:val="22"/>
                <w:vertAlign w:val="superscript"/>
              </w:rPr>
              <w:t>th</w:t>
            </w:r>
            <w:r>
              <w:rPr>
                <w:rFonts w:cs="Calibri"/>
                <w:szCs w:val="22"/>
              </w:rPr>
              <w:t xml:space="preserve"> </w:t>
            </w:r>
            <w:proofErr w:type="spellStart"/>
            <w:r>
              <w:rPr>
                <w:rFonts w:cs="Calibri"/>
                <w:szCs w:val="22"/>
              </w:rPr>
              <w:t>edn</w:t>
            </w:r>
            <w:proofErr w:type="spellEnd"/>
            <w:r>
              <w:rPr>
                <w:rFonts w:cs="Calibri"/>
                <w:szCs w:val="22"/>
              </w:rPr>
              <w:t>, Informa 2017</w:t>
            </w:r>
            <w:r w:rsidRPr="003A1C41">
              <w:rPr>
                <w:rFonts w:cs="Calibri"/>
                <w:szCs w:val="22"/>
              </w:rPr>
              <w:t xml:space="preserve">) </w:t>
            </w:r>
          </w:p>
          <w:p w14:paraId="0018CA69" w14:textId="77777777" w:rsidR="00940F7C" w:rsidRPr="008B6EEE" w:rsidRDefault="00940F7C" w:rsidP="00106235">
            <w:r>
              <w:t xml:space="preserve">The full text of this book is available from the </w:t>
            </w:r>
            <w:hyperlink r:id="rId10" w:history="1">
              <w:proofErr w:type="spellStart"/>
              <w:r w:rsidRPr="003266A4">
                <w:rPr>
                  <w:rStyle w:val="Hyperlink"/>
                </w:rPr>
                <w:t>i</w:t>
              </w:r>
              <w:proofErr w:type="spellEnd"/>
              <w:r w:rsidRPr="003266A4">
                <w:rPr>
                  <w:rStyle w:val="Hyperlink"/>
                </w:rPr>
                <w:t>-Law Maritime Database</w:t>
              </w:r>
            </w:hyperlink>
            <w:r>
              <w:t xml:space="preserve"> which you can access through the Institute of Advanced Legal Studies (IALS) Library Online Catalogue, once you have been issued a permanent user card. Please look under “Publications” on the left-hand menu.</w:t>
            </w:r>
          </w:p>
        </w:tc>
      </w:tr>
      <w:tr w:rsidR="00A01A59" w14:paraId="3AF14B32" w14:textId="77777777" w:rsidTr="00940F7C">
        <w:trPr>
          <w:trHeight w:val="562"/>
        </w:trPr>
        <w:tc>
          <w:tcPr>
            <w:tcW w:w="10627" w:type="dxa"/>
            <w:tcBorders>
              <w:top w:val="dotted" w:sz="4" w:space="0" w:color="auto"/>
              <w:left w:val="dotted" w:sz="4" w:space="0" w:color="auto"/>
              <w:bottom w:val="dotted" w:sz="4" w:space="0" w:color="auto"/>
              <w:right w:val="dotted" w:sz="4" w:space="0" w:color="auto"/>
            </w:tcBorders>
            <w:shd w:val="clear" w:color="auto" w:fill="FFFFFF" w:themeFill="background1"/>
          </w:tcPr>
          <w:p w14:paraId="43F8CD85" w14:textId="77777777" w:rsidR="00A01A59" w:rsidRPr="00B7381E" w:rsidRDefault="00940F7C" w:rsidP="00106235">
            <w:pPr>
              <w:jc w:val="both"/>
              <w:rPr>
                <w:b/>
              </w:rPr>
            </w:pPr>
            <w:r>
              <w:rPr>
                <w:rFonts w:cs="Calibri"/>
                <w:szCs w:val="22"/>
              </w:rPr>
              <w:t xml:space="preserve">M Goldby and L Mistelis, </w:t>
            </w:r>
            <w:r w:rsidRPr="00466876">
              <w:rPr>
                <w:rFonts w:cs="Calibri"/>
                <w:i/>
                <w:szCs w:val="22"/>
              </w:rPr>
              <w:t>The Role of Arbitration in Shipping Law</w:t>
            </w:r>
            <w:r>
              <w:rPr>
                <w:rFonts w:cs="Calibri"/>
                <w:szCs w:val="22"/>
              </w:rPr>
              <w:t xml:space="preserve"> (OUP 2016)</w:t>
            </w:r>
          </w:p>
        </w:tc>
      </w:tr>
      <w:tr w:rsidR="00A01A59" w14:paraId="580EAAA1" w14:textId="77777777" w:rsidTr="00940F7C">
        <w:trPr>
          <w:trHeight w:val="556"/>
        </w:trPr>
        <w:tc>
          <w:tcPr>
            <w:tcW w:w="10627" w:type="dxa"/>
            <w:tcBorders>
              <w:top w:val="dotted" w:sz="4" w:space="0" w:color="auto"/>
              <w:left w:val="dotted" w:sz="4" w:space="0" w:color="auto"/>
              <w:bottom w:val="dotted" w:sz="4" w:space="0" w:color="auto"/>
              <w:right w:val="dotted" w:sz="4" w:space="0" w:color="auto"/>
            </w:tcBorders>
            <w:shd w:val="clear" w:color="auto" w:fill="FFFFFF" w:themeFill="background1"/>
          </w:tcPr>
          <w:p w14:paraId="55DE9BDF" w14:textId="77777777" w:rsidR="00A01A59" w:rsidRPr="00B7381E" w:rsidRDefault="00940F7C" w:rsidP="00106235">
            <w:pPr>
              <w:jc w:val="both"/>
              <w:rPr>
                <w:b/>
              </w:rPr>
            </w:pPr>
            <w:r w:rsidRPr="003266A4">
              <w:t>You will be referred a variety of materials</w:t>
            </w:r>
            <w:r>
              <w:t>,</w:t>
            </w:r>
            <w:r w:rsidRPr="003266A4">
              <w:t xml:space="preserve"> which will be available online</w:t>
            </w:r>
            <w:r>
              <w:t>,</w:t>
            </w:r>
            <w:r w:rsidRPr="003266A4">
              <w:t xml:space="preserve"> for each </w:t>
            </w:r>
            <w:r>
              <w:t>topic</w:t>
            </w:r>
            <w:r w:rsidRPr="003266A4">
              <w:t xml:space="preserve">. Please see </w:t>
            </w:r>
            <w:proofErr w:type="spellStart"/>
            <w:r w:rsidRPr="003266A4">
              <w:t>QMPlus</w:t>
            </w:r>
            <w:proofErr w:type="spellEnd"/>
            <w:r w:rsidRPr="003266A4">
              <w:t xml:space="preserve"> for details</w:t>
            </w:r>
            <w:r>
              <w:t>.</w:t>
            </w:r>
          </w:p>
        </w:tc>
      </w:tr>
    </w:tbl>
    <w:p w14:paraId="45B4BC8D" w14:textId="77777777" w:rsidR="00A01A59" w:rsidRDefault="00A01A59" w:rsidP="00A01A59"/>
    <w:p w14:paraId="41B253CD" w14:textId="77777777" w:rsidR="000C09CA" w:rsidRDefault="000C09CA"/>
    <w:sectPr w:rsidR="000C09CA" w:rsidSect="008D1422">
      <w:footerReference w:type="default" r:id="rId11"/>
      <w:pgSz w:w="11906" w:h="16838"/>
      <w:pgMar w:top="1247" w:right="1077" w:bottom="124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E962F" w14:textId="77777777" w:rsidR="00AD6213" w:rsidRDefault="00AD6213">
      <w:pPr>
        <w:spacing w:after="0"/>
      </w:pPr>
      <w:r>
        <w:separator/>
      </w:r>
    </w:p>
  </w:endnote>
  <w:endnote w:type="continuationSeparator" w:id="0">
    <w:p w14:paraId="23728A14" w14:textId="77777777" w:rsidR="00AD6213" w:rsidRDefault="00AD62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3AE66" w14:textId="05924219" w:rsidR="00D47F02" w:rsidRDefault="00DE21D9">
    <w:pPr>
      <w:pStyle w:val="Footer"/>
      <w:jc w:val="right"/>
    </w:pPr>
    <w:r w:rsidRPr="005D4482">
      <w:t xml:space="preserve">Page </w:t>
    </w:r>
    <w:r w:rsidRPr="005D4482">
      <w:fldChar w:fldCharType="begin"/>
    </w:r>
    <w:r w:rsidRPr="005D4482">
      <w:instrText xml:space="preserve"> PAGE </w:instrText>
    </w:r>
    <w:r w:rsidRPr="005D4482">
      <w:fldChar w:fldCharType="separate"/>
    </w:r>
    <w:r w:rsidR="0020124A">
      <w:rPr>
        <w:noProof/>
      </w:rPr>
      <w:t>2</w:t>
    </w:r>
    <w:r w:rsidRPr="005D4482">
      <w:fldChar w:fldCharType="end"/>
    </w:r>
    <w:r w:rsidRPr="005D4482">
      <w:t xml:space="preserve"> of </w:t>
    </w:r>
    <w:r>
      <w:rPr>
        <w:noProof/>
      </w:rPr>
      <w:fldChar w:fldCharType="begin"/>
    </w:r>
    <w:r>
      <w:rPr>
        <w:noProof/>
      </w:rPr>
      <w:instrText xml:space="preserve"> NUMPAGES  </w:instrText>
    </w:r>
    <w:r>
      <w:rPr>
        <w:noProof/>
      </w:rPr>
      <w:fldChar w:fldCharType="separate"/>
    </w:r>
    <w:r w:rsidR="0020124A">
      <w:rPr>
        <w:noProof/>
      </w:rPr>
      <w:t>3</w:t>
    </w:r>
    <w:r>
      <w:rPr>
        <w:noProof/>
      </w:rPr>
      <w:fldChar w:fldCharType="end"/>
    </w:r>
  </w:p>
  <w:p w14:paraId="05364737" w14:textId="77777777" w:rsidR="00D47F02" w:rsidRDefault="00D47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5D769" w14:textId="77777777" w:rsidR="00AD6213" w:rsidRDefault="00AD6213">
      <w:pPr>
        <w:spacing w:after="0"/>
      </w:pPr>
      <w:r>
        <w:separator/>
      </w:r>
    </w:p>
  </w:footnote>
  <w:footnote w:type="continuationSeparator" w:id="0">
    <w:p w14:paraId="19C0EBD1" w14:textId="77777777" w:rsidR="00AD6213" w:rsidRDefault="00AD621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A59"/>
    <w:rsid w:val="000A1A8F"/>
    <w:rsid w:val="000C09CA"/>
    <w:rsid w:val="000E3D66"/>
    <w:rsid w:val="0012553D"/>
    <w:rsid w:val="00163E55"/>
    <w:rsid w:val="00187882"/>
    <w:rsid w:val="0020124A"/>
    <w:rsid w:val="00203CEC"/>
    <w:rsid w:val="002C0187"/>
    <w:rsid w:val="003011D7"/>
    <w:rsid w:val="00340224"/>
    <w:rsid w:val="00350A38"/>
    <w:rsid w:val="00384657"/>
    <w:rsid w:val="003A349C"/>
    <w:rsid w:val="00437F41"/>
    <w:rsid w:val="00453F74"/>
    <w:rsid w:val="0048479F"/>
    <w:rsid w:val="00487460"/>
    <w:rsid w:val="004A5FDF"/>
    <w:rsid w:val="004B0398"/>
    <w:rsid w:val="004C4202"/>
    <w:rsid w:val="004D031D"/>
    <w:rsid w:val="004F2EAE"/>
    <w:rsid w:val="004F57AF"/>
    <w:rsid w:val="005472D7"/>
    <w:rsid w:val="005632BE"/>
    <w:rsid w:val="00563E1E"/>
    <w:rsid w:val="00572F16"/>
    <w:rsid w:val="005813B1"/>
    <w:rsid w:val="005E63A5"/>
    <w:rsid w:val="005F296F"/>
    <w:rsid w:val="00654D11"/>
    <w:rsid w:val="00657684"/>
    <w:rsid w:val="00671F90"/>
    <w:rsid w:val="0068201F"/>
    <w:rsid w:val="006952E0"/>
    <w:rsid w:val="006F76D8"/>
    <w:rsid w:val="0073213D"/>
    <w:rsid w:val="00753D4D"/>
    <w:rsid w:val="00784BCA"/>
    <w:rsid w:val="00797FEE"/>
    <w:rsid w:val="007E3060"/>
    <w:rsid w:val="0092211C"/>
    <w:rsid w:val="00927316"/>
    <w:rsid w:val="0093154A"/>
    <w:rsid w:val="00940F7C"/>
    <w:rsid w:val="009A3D24"/>
    <w:rsid w:val="00A01A59"/>
    <w:rsid w:val="00A03E38"/>
    <w:rsid w:val="00A06D5C"/>
    <w:rsid w:val="00A17AF6"/>
    <w:rsid w:val="00A249E9"/>
    <w:rsid w:val="00A32408"/>
    <w:rsid w:val="00A5598C"/>
    <w:rsid w:val="00A96E45"/>
    <w:rsid w:val="00A9757B"/>
    <w:rsid w:val="00AD6213"/>
    <w:rsid w:val="00AF1B4B"/>
    <w:rsid w:val="00B146A8"/>
    <w:rsid w:val="00BD4B74"/>
    <w:rsid w:val="00BE7EE1"/>
    <w:rsid w:val="00C96ED6"/>
    <w:rsid w:val="00CB1854"/>
    <w:rsid w:val="00CC2292"/>
    <w:rsid w:val="00D47F02"/>
    <w:rsid w:val="00D5055C"/>
    <w:rsid w:val="00DE21D9"/>
    <w:rsid w:val="00E0051E"/>
    <w:rsid w:val="00E1130F"/>
    <w:rsid w:val="00E42A6D"/>
    <w:rsid w:val="00E545EB"/>
    <w:rsid w:val="00E555B8"/>
    <w:rsid w:val="00EE56B3"/>
    <w:rsid w:val="00F672AD"/>
    <w:rsid w:val="00F71A2E"/>
    <w:rsid w:val="00FC1BF4"/>
    <w:rsid w:val="00FD3BE8"/>
    <w:rsid w:val="00FF7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07993"/>
  <w15:chartTrackingRefBased/>
  <w15:docId w15:val="{7420AF5E-80CB-4604-B86B-7BF03BF64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A59"/>
    <w:pPr>
      <w:spacing w:after="120" w:line="240" w:lineRule="auto"/>
    </w:pPr>
    <w:rPr>
      <w:rFonts w:ascii="Calibri" w:eastAsia="Calibri"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1A59"/>
    <w:pPr>
      <w:spacing w:after="0" w:line="240" w:lineRule="auto"/>
    </w:pPr>
    <w:rPr>
      <w:rFonts w:ascii="Calibri" w:eastAsia="Calibri" w:hAnsi="Calibri" w:cs="Times New Roman"/>
      <w:szCs w:val="24"/>
    </w:rPr>
  </w:style>
  <w:style w:type="paragraph" w:styleId="Footer">
    <w:name w:val="footer"/>
    <w:basedOn w:val="Normal"/>
    <w:link w:val="FooterChar"/>
    <w:uiPriority w:val="99"/>
    <w:unhideWhenUsed/>
    <w:rsid w:val="00A01A59"/>
    <w:pPr>
      <w:tabs>
        <w:tab w:val="center" w:pos="4513"/>
        <w:tab w:val="right" w:pos="9026"/>
      </w:tabs>
    </w:pPr>
    <w:rPr>
      <w:rFonts w:ascii="Tahoma" w:hAnsi="Tahoma"/>
      <w:sz w:val="20"/>
      <w:szCs w:val="20"/>
      <w:lang w:val="x-none"/>
    </w:rPr>
  </w:style>
  <w:style w:type="character" w:customStyle="1" w:styleId="FooterChar">
    <w:name w:val="Footer Char"/>
    <w:basedOn w:val="DefaultParagraphFont"/>
    <w:link w:val="Footer"/>
    <w:uiPriority w:val="99"/>
    <w:rsid w:val="00A01A59"/>
    <w:rPr>
      <w:rFonts w:ascii="Tahoma" w:eastAsia="Calibri" w:hAnsi="Tahoma" w:cs="Times New Roman"/>
      <w:sz w:val="20"/>
      <w:szCs w:val="20"/>
      <w:lang w:val="x-none"/>
    </w:rPr>
  </w:style>
  <w:style w:type="table" w:styleId="TableGrid">
    <w:name w:val="Table Grid"/>
    <w:basedOn w:val="TableNormal"/>
    <w:uiPriority w:val="39"/>
    <w:rsid w:val="00A01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1A59"/>
    <w:rPr>
      <w:color w:val="0563C1" w:themeColor="hyperlink"/>
      <w:u w:val="single"/>
    </w:rPr>
  </w:style>
  <w:style w:type="character" w:styleId="UnresolvedMention">
    <w:name w:val="Unresolved Mention"/>
    <w:basedOn w:val="DefaultParagraphFont"/>
    <w:uiPriority w:val="99"/>
    <w:semiHidden/>
    <w:unhideWhenUsed/>
    <w:rsid w:val="00BE7E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oldby@qmul.ac.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goldby@qmul.ac.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catalogue.libraries.london.ac.uk/record=b3251795~S6" TargetMode="External"/><Relationship Id="rId4" Type="http://schemas.openxmlformats.org/officeDocument/2006/relationships/footnotes" Target="footnotes.xml"/><Relationship Id="rId9" Type="http://schemas.openxmlformats.org/officeDocument/2006/relationships/hyperlink" Target="mailto:bernard.rix@twentyesse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Queen Mary, University of London</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Sullivan</dc:creator>
  <cp:keywords/>
  <dc:description/>
  <cp:lastModifiedBy>Miriam Goldby</cp:lastModifiedBy>
  <cp:revision>45</cp:revision>
  <dcterms:created xsi:type="dcterms:W3CDTF">2024-08-12T14:02:00Z</dcterms:created>
  <dcterms:modified xsi:type="dcterms:W3CDTF">2024-09-23T10:54:00Z</dcterms:modified>
</cp:coreProperties>
</file>