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FA" w:rsidRPr="00B375FA" w:rsidRDefault="00B375FA" w:rsidP="00191E5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i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Select Extra Reading for </w:t>
      </w:r>
      <w:r>
        <w:rPr>
          <w:rFonts w:ascii="Arial" w:eastAsia="Times New Roman" w:hAnsi="Arial" w:cs="Arial"/>
          <w:b/>
          <w:bCs/>
          <w:i/>
          <w:color w:val="444444"/>
          <w:sz w:val="21"/>
          <w:szCs w:val="21"/>
          <w:lang w:eastAsia="en-GB"/>
        </w:rPr>
        <w:t>Bodas de sangre</w:t>
      </w:r>
    </w:p>
    <w:p w:rsidR="00191E5E" w:rsidRPr="00191E5E" w:rsidRDefault="00191E5E" w:rsidP="00191E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 </w:t>
      </w:r>
    </w:p>
    <w:p w:rsidR="00191E5E" w:rsidRPr="00191E5E" w:rsidRDefault="00191E5E" w:rsidP="00191E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en-GB"/>
        </w:rPr>
        <w:t>Set Text</w:t>
      </w:r>
    </w:p>
    <w:p w:rsidR="00191E5E" w:rsidRPr="00191E5E" w:rsidRDefault="00191E5E" w:rsidP="00191E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Federico García Lorca, </w:t>
      </w:r>
      <w:r w:rsidRPr="00191E5E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Bodas de sangre</w:t>
      </w: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, ed. by Herbert Ramsden (Manchester: Manchester University Press, 1980); English translation: </w:t>
      </w:r>
      <w:r w:rsidRPr="00191E5E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Blood Wedding</w:t>
      </w: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, ed. by Gwynne Edwards (London: Methuen, 1997).</w:t>
      </w:r>
    </w:p>
    <w:p w:rsidR="00191E5E" w:rsidRPr="00191E5E" w:rsidRDefault="00191E5E" w:rsidP="00191E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191E5E" w:rsidRPr="00191E5E" w:rsidRDefault="00191E5E" w:rsidP="00191E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191E5E" w:rsidRPr="00191E5E" w:rsidRDefault="00191E5E" w:rsidP="00191E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en-GB"/>
        </w:rPr>
        <w:t>Secondary Reading</w:t>
      </w:r>
    </w:p>
    <w:p w:rsidR="00DC4894" w:rsidRDefault="00DC4894" w:rsidP="00191E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Note that the Introductions to the recommended edition and the translation have valuable information as well</w:t>
      </w:r>
      <w:bookmarkStart w:id="0" w:name="_GoBack"/>
      <w:bookmarkEnd w:id="0"/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. </w:t>
      </w:r>
    </w:p>
    <w:p w:rsidR="00DC4894" w:rsidRDefault="00DC4894" w:rsidP="00191E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191E5E" w:rsidRPr="00191E5E" w:rsidRDefault="00191E5E" w:rsidP="00191E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QMUL library codes are followed by those for Senate House where available.</w:t>
      </w:r>
    </w:p>
    <w:p w:rsidR="00191E5E" w:rsidRPr="00191E5E" w:rsidRDefault="00191E5E" w:rsidP="00191E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</w:t>
      </w:r>
    </w:p>
    <w:p w:rsidR="00191E5E" w:rsidRPr="00191E5E" w:rsidRDefault="00191E5E" w:rsidP="00E76B79">
      <w:pPr>
        <w:shd w:val="clear" w:color="auto" w:fill="FFFFFF"/>
        <w:spacing w:after="0" w:line="360" w:lineRule="atLeast"/>
        <w:ind w:left="720" w:hanging="720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Anderson, Reed, </w:t>
      </w:r>
      <w:r w:rsidRPr="00191E5E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Federico García Lorca</w:t>
      </w: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(London: Macmillan, 1984), pp. 87-103. PQ 6613. A765. Z5. AND; Senate House: 3 XPT G23a And.</w:t>
      </w:r>
    </w:p>
    <w:p w:rsidR="00191E5E" w:rsidRPr="00191E5E" w:rsidRDefault="00191E5E" w:rsidP="00E76B79">
      <w:pPr>
        <w:shd w:val="clear" w:color="auto" w:fill="FFFFFF"/>
        <w:spacing w:after="0" w:line="360" w:lineRule="atLeast"/>
        <w:ind w:left="720" w:hanging="720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Binding, Paul, </w:t>
      </w:r>
      <w:r w:rsidRPr="00191E5E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Lorca: The Gay Imagination</w:t>
      </w: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(London: GMP Publishers, 1985), pp. 167-73. PQ 6613. A765. Z5. BIN; Senate House: 3 XPT G23a Bin.</w:t>
      </w:r>
    </w:p>
    <w:p w:rsidR="00191E5E" w:rsidRPr="00191E5E" w:rsidRDefault="00191E5E" w:rsidP="00E76B79">
      <w:pPr>
        <w:shd w:val="clear" w:color="auto" w:fill="FFFFFF"/>
        <w:spacing w:after="0" w:line="360" w:lineRule="atLeast"/>
        <w:ind w:left="720" w:hanging="720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Delagdo, Maria, </w:t>
      </w:r>
      <w:r w:rsidRPr="00191E5E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Federico García Lorca</w:t>
      </w: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(New York: Routledge, 2008). PQ 6613. A765. Z5. DEL.</w:t>
      </w:r>
    </w:p>
    <w:p w:rsidR="00191E5E" w:rsidRPr="00191E5E" w:rsidRDefault="00191E5E" w:rsidP="00E76B79">
      <w:pPr>
        <w:shd w:val="clear" w:color="auto" w:fill="FFFFFF"/>
        <w:spacing w:after="0" w:line="360" w:lineRule="atLeast"/>
        <w:ind w:left="720" w:hanging="720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Edwards, Gwynne, </w:t>
      </w:r>
      <w:r w:rsidRPr="00191E5E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Lorca: The Theatre beneath the Sand</w:t>
      </w: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(London: Marion Boyars, 1980), pp. 125-66. PQ 6613. A765. Z5. EDW; Senate House: 3 XPT G23a Edw.</w:t>
      </w:r>
    </w:p>
    <w:p w:rsidR="00191E5E" w:rsidRPr="00191E5E" w:rsidRDefault="00191E5E" w:rsidP="00E76B79">
      <w:pPr>
        <w:shd w:val="clear" w:color="auto" w:fill="FFFFFF"/>
        <w:spacing w:after="0" w:line="360" w:lineRule="atLeast"/>
        <w:ind w:left="720" w:hanging="720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Fernández Cifuentes, Luis, </w:t>
      </w:r>
      <w:r w:rsidRPr="00191E5E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García Lorca en el teatro: la norma y la diferencia</w:t>
      </w: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(Zaragoza: Universidad de Zaragoza, 1986), pp. 133-59. Senate House: 3 XPT G23a Fer.</w:t>
      </w:r>
    </w:p>
    <w:p w:rsidR="00191E5E" w:rsidRPr="00191E5E" w:rsidRDefault="00191E5E" w:rsidP="00E76B79">
      <w:pPr>
        <w:shd w:val="clear" w:color="auto" w:fill="FFFFFF"/>
        <w:spacing w:after="0" w:line="360" w:lineRule="atLeast"/>
        <w:ind w:left="720" w:hanging="720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Halliburton, Charles Lloyd, ‘García Lorca, the Tragedian: An Aristotelian Analysis of </w:t>
      </w:r>
      <w:r w:rsidRPr="00191E5E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Bodas de sangre</w:t>
      </w: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’, </w:t>
      </w:r>
      <w:r w:rsidRPr="00191E5E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Revista de Estudios Hispánicos</w:t>
      </w: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, 2 (1968), 35-40. Senate House: e journal.</w:t>
      </w:r>
    </w:p>
    <w:p w:rsidR="00191E5E" w:rsidRPr="00191E5E" w:rsidRDefault="00191E5E" w:rsidP="00E76B79">
      <w:pPr>
        <w:shd w:val="clear" w:color="auto" w:fill="FFFFFF"/>
        <w:spacing w:after="0" w:line="360" w:lineRule="atLeast"/>
        <w:ind w:left="720" w:hanging="720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Morris, C. B., </w:t>
      </w:r>
      <w:r w:rsidRPr="00191E5E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García Lorca: Bodas de sangre</w:t>
      </w: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(London: Grant &amp; Cutler / Tamesis, 1980). PQ 6613. A765. Z5. MOR; Senate House: 3 XPT G23a Mor.</w:t>
      </w:r>
    </w:p>
    <w:p w:rsidR="00191E5E" w:rsidRPr="00191E5E" w:rsidRDefault="00191E5E" w:rsidP="00E76B79">
      <w:pPr>
        <w:shd w:val="clear" w:color="auto" w:fill="FFFFFF"/>
        <w:spacing w:after="0" w:line="360" w:lineRule="atLeast"/>
        <w:ind w:left="720" w:hanging="720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Soufas, C. Christopher, </w:t>
      </w:r>
      <w:r w:rsidRPr="00191E5E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Audience and Authority in the Modernist Theater of Federico García Lorca</w:t>
      </w: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(Tuscaloosa: University of Alabama Press, 1996), pp. 93-107. PQ 6613. A765. Z5. SOU; Senate House: 3 XPT G23a Sou.</w:t>
      </w:r>
    </w:p>
    <w:p w:rsidR="00191E5E" w:rsidRPr="00191E5E" w:rsidRDefault="00191E5E" w:rsidP="00E76B79">
      <w:pPr>
        <w:shd w:val="clear" w:color="auto" w:fill="FFFFFF"/>
        <w:spacing w:after="0" w:line="360" w:lineRule="atLeast"/>
        <w:ind w:left="720" w:hanging="720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Touster, Eva K., ‘Thematic Patterns in Lorca’s Blood Wedding’, </w:t>
      </w:r>
      <w:r w:rsidRPr="00191E5E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Modern Drama</w:t>
      </w:r>
      <w:r w:rsidRPr="00191E5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, 7 (1964), 16-27. In Project MUSE: online.</w:t>
      </w:r>
    </w:p>
    <w:p w:rsidR="006F4846" w:rsidRPr="00191E5E" w:rsidRDefault="006F4846" w:rsidP="00191E5E"/>
    <w:sectPr w:rsidR="006F4846" w:rsidRPr="0019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46"/>
    <w:rsid w:val="00191E5E"/>
    <w:rsid w:val="006F4846"/>
    <w:rsid w:val="00B375FA"/>
    <w:rsid w:val="00DA5EA4"/>
    <w:rsid w:val="00DC4894"/>
    <w:rsid w:val="00E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F9FB5-99B1-469E-ADFE-CA04902D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1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1E5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9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9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London</dc:creator>
  <cp:keywords/>
  <dc:description/>
  <cp:lastModifiedBy>John London</cp:lastModifiedBy>
  <cp:revision>3</cp:revision>
  <dcterms:created xsi:type="dcterms:W3CDTF">2017-10-11T13:19:00Z</dcterms:created>
  <dcterms:modified xsi:type="dcterms:W3CDTF">2017-10-11T13:22:00Z</dcterms:modified>
</cp:coreProperties>
</file>